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1110" w14:textId="77777777" w:rsidR="00D86ED4" w:rsidRDefault="00D86ED4" w:rsidP="006F34C3">
      <w:pPr>
        <w:jc w:val="center"/>
        <w:rPr>
          <w:rFonts w:ascii="Times New Roman" w:hAnsi="Times New Roman" w:cs="Times New Roman"/>
          <w:b/>
          <w:bCs/>
        </w:rPr>
      </w:pPr>
    </w:p>
    <w:p w14:paraId="7A0A4FCC" w14:textId="264A0E28" w:rsidR="00D86ED4" w:rsidRPr="0051294F" w:rsidRDefault="004D38D0" w:rsidP="006F34C3">
      <w:pPr>
        <w:jc w:val="center"/>
        <w:rPr>
          <w:rFonts w:ascii="Times New Roman" w:hAnsi="Times New Roman" w:cs="Times New Roman"/>
          <w:b/>
          <w:bCs/>
        </w:rPr>
      </w:pPr>
      <w:r w:rsidRPr="0051294F">
        <w:rPr>
          <w:rFonts w:ascii="Times New Roman" w:hAnsi="Times New Roman" w:cs="Times New Roman"/>
          <w:b/>
          <w:bCs/>
        </w:rPr>
        <w:t>Priekšlikum</w:t>
      </w:r>
      <w:r w:rsidR="004264C2" w:rsidRPr="0051294F">
        <w:rPr>
          <w:rFonts w:ascii="Times New Roman" w:hAnsi="Times New Roman" w:cs="Times New Roman"/>
          <w:b/>
          <w:bCs/>
        </w:rPr>
        <w:t>i</w:t>
      </w:r>
      <w:r w:rsidRPr="0051294F">
        <w:rPr>
          <w:rFonts w:ascii="Times New Roman" w:hAnsi="Times New Roman" w:cs="Times New Roman"/>
          <w:b/>
          <w:bCs/>
        </w:rPr>
        <w:t xml:space="preserve"> </w:t>
      </w:r>
      <w:r w:rsidR="0080359B">
        <w:rPr>
          <w:rFonts w:ascii="Times New Roman" w:hAnsi="Times New Roman" w:cs="Times New Roman"/>
          <w:b/>
          <w:bCs/>
        </w:rPr>
        <w:t>i</w:t>
      </w:r>
      <w:r w:rsidR="000D324B" w:rsidRPr="000D324B">
        <w:rPr>
          <w:rFonts w:ascii="Times New Roman" w:hAnsi="Times New Roman" w:cs="Times New Roman"/>
          <w:b/>
          <w:bCs/>
        </w:rPr>
        <w:t>erobežotu projektu iesniegumu atlašu sarakst</w:t>
      </w:r>
      <w:r w:rsidR="000D324B">
        <w:rPr>
          <w:rFonts w:ascii="Times New Roman" w:hAnsi="Times New Roman" w:cs="Times New Roman"/>
          <w:b/>
          <w:bCs/>
        </w:rPr>
        <w:t>am</w:t>
      </w:r>
      <w:r w:rsidR="000D324B" w:rsidRPr="000D324B">
        <w:rPr>
          <w:rFonts w:ascii="Times New Roman" w:hAnsi="Times New Roman" w:cs="Times New Roman"/>
          <w:b/>
          <w:bCs/>
        </w:rPr>
        <w:t xml:space="preserve">, kurām piemērojams izņēmums attiecībā uz vienoto kritēriju un vienoto izvēles kritēriju piemērošanu </w:t>
      </w:r>
      <w:r w:rsidR="00435B50">
        <w:rPr>
          <w:rFonts w:ascii="Times New Roman" w:hAnsi="Times New Roman" w:cs="Times New Roman"/>
          <w:b/>
          <w:bCs/>
        </w:rPr>
        <w:t xml:space="preserve"> - </w:t>
      </w:r>
      <w:r w:rsidR="00435B50" w:rsidRPr="00435B50">
        <w:rPr>
          <w:rFonts w:ascii="Times New Roman" w:hAnsi="Times New Roman" w:cs="Times New Roman"/>
          <w:b/>
          <w:bCs/>
        </w:rPr>
        <w:t>nav nepieciešami specifiskie atbilstības kritēriji un kvalitātes kritēriji</w:t>
      </w:r>
    </w:p>
    <w:tbl>
      <w:tblPr>
        <w:tblW w:w="1447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396"/>
        <w:gridCol w:w="4685"/>
        <w:gridCol w:w="826"/>
        <w:gridCol w:w="2458"/>
        <w:gridCol w:w="3528"/>
      </w:tblGrid>
      <w:tr w:rsidR="000603BA" w:rsidRPr="0051294F" w14:paraId="0B502262" w14:textId="2AF13C38" w:rsidTr="000603BA">
        <w:trPr>
          <w:trHeight w:val="480"/>
          <w:tblHeader/>
        </w:trPr>
        <w:tc>
          <w:tcPr>
            <w:tcW w:w="5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3B53" w14:textId="77777777" w:rsidR="000603BA" w:rsidRPr="0051294F" w:rsidRDefault="000603BA" w:rsidP="000D2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p.k.</w:t>
            </w:r>
          </w:p>
        </w:tc>
        <w:tc>
          <w:tcPr>
            <w:tcW w:w="239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B266" w14:textId="29A89A95" w:rsidR="000603BA" w:rsidRPr="0051294F" w:rsidRDefault="000603BA" w:rsidP="007E2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Atbildīgā iestāde</w:t>
            </w:r>
          </w:p>
        </w:tc>
        <w:tc>
          <w:tcPr>
            <w:tcW w:w="468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EBEE" w14:textId="118C0521" w:rsidR="000603BA" w:rsidRPr="0051294F" w:rsidRDefault="000603BA" w:rsidP="00DD7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Specifiskais atbalsta mērķis/ </w:t>
            </w:r>
            <w:r w:rsidRPr="005129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Pasākums</w:t>
            </w:r>
          </w:p>
        </w:tc>
        <w:tc>
          <w:tcPr>
            <w:tcW w:w="8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B6CB" w14:textId="77777777" w:rsidR="000603BA" w:rsidRPr="0051294F" w:rsidRDefault="000603BA" w:rsidP="00DD7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Kārtas Nr.</w:t>
            </w:r>
          </w:p>
        </w:tc>
        <w:tc>
          <w:tcPr>
            <w:tcW w:w="245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5F77" w14:textId="10F4346C" w:rsidR="000603BA" w:rsidRPr="0051294F" w:rsidRDefault="000603BA" w:rsidP="00DD7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Plānotie projektu iesniedzēji/ finansējuma saņēmēji</w:t>
            </w:r>
          </w:p>
        </w:tc>
        <w:tc>
          <w:tcPr>
            <w:tcW w:w="3528" w:type="dxa"/>
            <w:shd w:val="clear" w:color="auto" w:fill="D9D9D9"/>
          </w:tcPr>
          <w:p w14:paraId="03A004A4" w14:textId="696F75FD" w:rsidR="000603BA" w:rsidRPr="00D86ED4" w:rsidRDefault="000603BA" w:rsidP="00DD7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Pamatojums izņēmumam</w:t>
            </w:r>
          </w:p>
        </w:tc>
      </w:tr>
      <w:tr w:rsidR="000603BA" w:rsidRPr="0051294F" w14:paraId="68E522F5" w14:textId="2CDEC851" w:rsidTr="000603BA">
        <w:trPr>
          <w:trHeight w:val="375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F6B4" w14:textId="01C318AF" w:rsidR="000603BA" w:rsidRPr="001565F4" w:rsidRDefault="000603BA" w:rsidP="00156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1403" w14:textId="228D0939" w:rsidR="000603BA" w:rsidRDefault="000603BA" w:rsidP="007E2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Viedās administrācijas un reģionālās attīstības ministrija</w:t>
            </w:r>
          </w:p>
        </w:tc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688B" w14:textId="03DFEF5E" w:rsidR="000603BA" w:rsidRPr="0051294F" w:rsidRDefault="000603BA" w:rsidP="004D3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AB0">
              <w:rPr>
                <w:rFonts w:ascii="Times New Roman" w:hAnsi="Times New Roman" w:cs="Times New Roman"/>
                <w:sz w:val="20"/>
                <w:szCs w:val="20"/>
              </w:rPr>
              <w:t xml:space="preserve">1.3.1.3. pasākums “IKT risinājumu un pakalpojumu </w:t>
            </w:r>
            <w:proofErr w:type="spellStart"/>
            <w:r w:rsidRPr="00F42AB0">
              <w:rPr>
                <w:rFonts w:ascii="Times New Roman" w:hAnsi="Times New Roman" w:cs="Times New Roman"/>
                <w:sz w:val="20"/>
                <w:szCs w:val="20"/>
              </w:rPr>
              <w:t>kiberdrošības</w:t>
            </w:r>
            <w:proofErr w:type="spellEnd"/>
            <w:r w:rsidRPr="00F42AB0">
              <w:rPr>
                <w:rFonts w:ascii="Times New Roman" w:hAnsi="Times New Roman" w:cs="Times New Roman"/>
                <w:sz w:val="20"/>
                <w:szCs w:val="20"/>
              </w:rPr>
              <w:t xml:space="preserve"> paaugstināšana”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71D8" w14:textId="40EE9415" w:rsidR="000603BA" w:rsidRPr="0051294F" w:rsidRDefault="000603BA" w:rsidP="00DD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1AAD" w14:textId="54B9BFA7" w:rsidR="000603BA" w:rsidRPr="0051294F" w:rsidRDefault="000603BA" w:rsidP="004D3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0A5">
              <w:rPr>
                <w:rFonts w:ascii="Times New Roman" w:hAnsi="Times New Roman" w:cs="Times New Roman"/>
                <w:sz w:val="20"/>
                <w:szCs w:val="20"/>
              </w:rPr>
              <w:t>Tiešās valsts pārvaldes iestādes</w:t>
            </w:r>
          </w:p>
        </w:tc>
        <w:tc>
          <w:tcPr>
            <w:tcW w:w="3528" w:type="dxa"/>
          </w:tcPr>
          <w:p w14:paraId="5648BE06" w14:textId="3E4287E6" w:rsidR="005B4D9C" w:rsidRDefault="000E6B53" w:rsidP="00464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priekšatlase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notiek</w:t>
            </w:r>
            <w:r w:rsidR="005B4D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D9C" w:rsidRPr="005B4D9C">
              <w:rPr>
                <w:rFonts w:ascii="Times New Roman" w:hAnsi="Times New Roman" w:cs="Times New Roman"/>
                <w:sz w:val="20"/>
                <w:szCs w:val="20"/>
              </w:rPr>
              <w:t xml:space="preserve">Projektu saraksts tiks izskatīts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B53">
              <w:rPr>
                <w:rFonts w:ascii="Times New Roman" w:hAnsi="Times New Roman" w:cs="Times New Roman"/>
                <w:sz w:val="20"/>
                <w:szCs w:val="20"/>
              </w:rPr>
              <w:t>Digitālās pārveides un pārvaldes modernizācijas tematisko komitejā</w:t>
            </w:r>
            <w:r w:rsidR="005B4D9C" w:rsidRPr="005B4D9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5B4D9C" w:rsidRPr="005B4D9C">
              <w:rPr>
                <w:rFonts w:ascii="Times New Roman" w:hAnsi="Times New Roman" w:cs="Times New Roman"/>
                <w:sz w:val="20"/>
                <w:szCs w:val="20"/>
              </w:rPr>
              <w:t>un apstiprināts ar Ministru kabineta rīkojumu</w:t>
            </w:r>
            <w:r w:rsidRPr="000E6B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D37F9FD" w14:textId="44AA59ED" w:rsidR="000603BA" w:rsidRDefault="000E6B53" w:rsidP="00F66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Projekti saistīti 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kiberdrošības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jautājumiem, kuriem ir noteiktas pakāp</w:t>
            </w:r>
            <w:r w:rsidR="002B66B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ierobežotas pieejamības informācija.  </w:t>
            </w:r>
          </w:p>
          <w:p w14:paraId="05545BB9" w14:textId="77777777" w:rsidR="005B4D9C" w:rsidRPr="005B4D9C" w:rsidRDefault="005B4D9C" w:rsidP="00F66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>Komercdarbības atbalsts nav paredzēts.</w:t>
            </w:r>
          </w:p>
          <w:p w14:paraId="79B7A2DD" w14:textId="3305535B" w:rsidR="005B4D9C" w:rsidRPr="00E150A5" w:rsidRDefault="00CB4BBE" w:rsidP="00F66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 xml:space="preserve">2025. gada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 xml:space="preserve">. martā uzsākta MK noteikumu projekta starpinstitūciju saskaņošana TAP portālā – projekta </w:t>
            </w:r>
            <w:hyperlink r:id="rId8" w:tooltip="https://tapportals.mk.gov.lv/legal_acts/9d7dcaec-7d33-4b42-9249-8f6021025acd" w:history="1">
              <w:r w:rsidRPr="00CB4B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25-TA-641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535A8" w:rsidRPr="0051294F" w14:paraId="58B731FD" w14:textId="77777777" w:rsidTr="000603BA">
        <w:trPr>
          <w:trHeight w:val="375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EA26" w14:textId="77777777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A45A" w14:textId="10576F5E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9B3">
              <w:rPr>
                <w:rFonts w:ascii="Times New Roman" w:hAnsi="Times New Roman" w:cs="Times New Roman"/>
                <w:sz w:val="20"/>
                <w:szCs w:val="20"/>
              </w:rPr>
              <w:t>Satiksmes ministrija</w:t>
            </w:r>
          </w:p>
        </w:tc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D46F" w14:textId="4D6377F3" w:rsidR="001535A8" w:rsidRPr="00F42AB0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9B3">
              <w:rPr>
                <w:rFonts w:ascii="Times New Roman" w:hAnsi="Times New Roman" w:cs="Times New Roman"/>
                <w:sz w:val="20"/>
                <w:szCs w:val="20"/>
              </w:rPr>
              <w:t>1.3.1.4. pasākums</w:t>
            </w:r>
            <w:r w:rsidR="00464B7A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="00464B7A" w:rsidRPr="00464B7A">
              <w:rPr>
                <w:rFonts w:ascii="Times New Roman" w:hAnsi="Times New Roman" w:cs="Times New Roman"/>
                <w:sz w:val="20"/>
                <w:szCs w:val="20"/>
              </w:rPr>
              <w:t>Vienota civilās aviācijas pārvaldības un uzraudzības sistēmas izveide</w:t>
            </w:r>
            <w:r w:rsidR="00464B7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6198" w14:textId="21F864A9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D1B3" w14:textId="513A5E51" w:rsidR="001535A8" w:rsidRPr="00E150A5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9B3">
              <w:rPr>
                <w:rFonts w:ascii="Times New Roman" w:hAnsi="Times New Roman" w:cs="Times New Roman"/>
                <w:sz w:val="20"/>
                <w:szCs w:val="20"/>
              </w:rPr>
              <w:t>Valsts aģentūra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kas pilda valsts pārvaldes doto uzdevumu vai valsts kapitālsabiedrība</w:t>
            </w:r>
          </w:p>
        </w:tc>
        <w:tc>
          <w:tcPr>
            <w:tcW w:w="3528" w:type="dxa"/>
          </w:tcPr>
          <w:p w14:paraId="64638376" w14:textId="7BFD839C" w:rsidR="001535A8" w:rsidRDefault="001535A8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9B3">
              <w:rPr>
                <w:rFonts w:ascii="Times New Roman" w:hAnsi="Times New Roman" w:cs="Times New Roman"/>
                <w:sz w:val="20"/>
                <w:szCs w:val="20"/>
              </w:rPr>
              <w:t xml:space="preserve">Finansējuma saņēmējs ir valsts aģentūra, kas pilda </w:t>
            </w:r>
            <w:r w:rsidR="00AC4204">
              <w:rPr>
                <w:rFonts w:ascii="Times New Roman" w:hAnsi="Times New Roman" w:cs="Times New Roman"/>
                <w:sz w:val="20"/>
                <w:szCs w:val="20"/>
              </w:rPr>
              <w:t xml:space="preserve">deleģēto </w:t>
            </w:r>
            <w:r w:rsidRPr="001A59B3">
              <w:rPr>
                <w:rFonts w:ascii="Times New Roman" w:hAnsi="Times New Roman" w:cs="Times New Roman"/>
                <w:sz w:val="20"/>
                <w:szCs w:val="20"/>
              </w:rPr>
              <w:t>valsts pārvaldes uzdevumu,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vai valsts kapitālsabiedrība, </w:t>
            </w:r>
            <w:r w:rsidRPr="001A59B3">
              <w:rPr>
                <w:rFonts w:ascii="Times New Roman" w:hAnsi="Times New Roman" w:cs="Times New Roman"/>
                <w:sz w:val="20"/>
                <w:szCs w:val="20"/>
              </w:rPr>
              <w:t xml:space="preserve"> plānots viens </w:t>
            </w:r>
            <w:proofErr w:type="spellStart"/>
            <w:r w:rsidRPr="001A59B3">
              <w:rPr>
                <w:rFonts w:ascii="Times New Roman" w:hAnsi="Times New Roman" w:cs="Times New Roman"/>
                <w:sz w:val="20"/>
                <w:szCs w:val="20"/>
              </w:rPr>
              <w:t>predefinēts</w:t>
            </w:r>
            <w:proofErr w:type="spellEnd"/>
            <w:r w:rsidRPr="001A59B3">
              <w:rPr>
                <w:rFonts w:ascii="Times New Roman" w:hAnsi="Times New Roman" w:cs="Times New Roman"/>
                <w:sz w:val="20"/>
                <w:szCs w:val="20"/>
              </w:rPr>
              <w:t xml:space="preserve"> projekts.</w:t>
            </w:r>
          </w:p>
        </w:tc>
      </w:tr>
      <w:tr w:rsidR="001535A8" w:rsidRPr="0051294F" w14:paraId="23F9F969" w14:textId="14EFF784" w:rsidTr="000603BA">
        <w:trPr>
          <w:trHeight w:val="375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EDC6" w14:textId="3496A640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B4B8" w14:textId="68E0C726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Klimata un enerģētikas ministrija</w:t>
            </w:r>
          </w:p>
        </w:tc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F758" w14:textId="1B97712B" w:rsidR="001535A8" w:rsidRPr="0051294F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2.1.2.SAM </w:t>
            </w:r>
            <w:r w:rsidRPr="001565F4">
              <w:rPr>
                <w:rFonts w:ascii="Times New Roman" w:hAnsi="Times New Roman" w:cs="Times New Roman"/>
                <w:sz w:val="20"/>
                <w:szCs w:val="20"/>
              </w:rPr>
              <w:t xml:space="preserve">“Atjaunojamo energoresursu enerģijas veicināšana - </w:t>
            </w:r>
            <w:proofErr w:type="spellStart"/>
            <w:r w:rsidRPr="001565F4">
              <w:rPr>
                <w:rFonts w:ascii="Times New Roman" w:hAnsi="Times New Roman" w:cs="Times New Roman"/>
                <w:sz w:val="20"/>
                <w:szCs w:val="20"/>
              </w:rPr>
              <w:t>biometāns</w:t>
            </w:r>
            <w:proofErr w:type="spellEnd"/>
            <w:r w:rsidRPr="001565F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D897" w14:textId="43AD7976" w:rsidR="001535A8" w:rsidRPr="0051294F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E8CE" w14:textId="1DD252DD" w:rsidR="001535A8" w:rsidRPr="0051294F" w:rsidRDefault="00260E3A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9F6">
              <w:rPr>
                <w:rFonts w:ascii="Times New Roman" w:hAnsi="Times New Roman" w:cs="Times New Roman"/>
                <w:sz w:val="20"/>
                <w:szCs w:val="20"/>
              </w:rPr>
              <w:t>AS “</w:t>
            </w:r>
            <w:proofErr w:type="spellStart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>Conexus</w:t>
            </w:r>
            <w:proofErr w:type="spellEnd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>Baltic</w:t>
            </w:r>
            <w:proofErr w:type="spellEnd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 xml:space="preserve"> Grid”</w:t>
            </w:r>
          </w:p>
        </w:tc>
        <w:tc>
          <w:tcPr>
            <w:tcW w:w="3528" w:type="dxa"/>
          </w:tcPr>
          <w:p w14:paraId="54F746EA" w14:textId="23D8901C" w:rsidR="001535A8" w:rsidRPr="001565F4" w:rsidRDefault="001535A8" w:rsidP="0080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Finansējuma saņēmējs – vienīgais L</w:t>
            </w:r>
            <w:r w:rsidRPr="003A09F6">
              <w:rPr>
                <w:rFonts w:ascii="Times New Roman" w:hAnsi="Times New Roman" w:cs="Times New Roman"/>
                <w:sz w:val="20"/>
                <w:szCs w:val="20"/>
              </w:rPr>
              <w:t xml:space="preserve">atvijas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vienotais </w:t>
            </w:r>
            <w:r w:rsidRPr="003A09F6">
              <w:rPr>
                <w:rFonts w:ascii="Times New Roman" w:hAnsi="Times New Roman" w:cs="Times New Roman"/>
                <w:sz w:val="20"/>
                <w:szCs w:val="20"/>
              </w:rPr>
              <w:t xml:space="preserve">dabasgāzes pārvades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 uzglabāšanas</w:t>
            </w:r>
            <w:r w:rsidRPr="003A09F6">
              <w:rPr>
                <w:rFonts w:ascii="Times New Roman" w:hAnsi="Times New Roman" w:cs="Times New Roman"/>
                <w:sz w:val="20"/>
                <w:szCs w:val="20"/>
              </w:rPr>
              <w:t xml:space="preserve"> sistēmas operators (AS “</w:t>
            </w:r>
            <w:proofErr w:type="spellStart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>Conexus</w:t>
            </w:r>
            <w:proofErr w:type="spellEnd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>Baltic</w:t>
            </w:r>
            <w:proofErr w:type="spellEnd"/>
            <w:r w:rsidRPr="003A09F6">
              <w:rPr>
                <w:rFonts w:ascii="Times New Roman" w:hAnsi="Times New Roman" w:cs="Times New Roman"/>
                <w:sz w:val="20"/>
                <w:szCs w:val="20"/>
              </w:rPr>
              <w:t xml:space="preserve"> Grid”)</w:t>
            </w:r>
            <w:r w:rsidR="00AC4204">
              <w:rPr>
                <w:rFonts w:ascii="Times New Roman" w:hAnsi="Times New Roman" w:cs="Times New Roman"/>
                <w:sz w:val="20"/>
                <w:szCs w:val="20"/>
              </w:rPr>
              <w:t xml:space="preserve">. Investīcijas ietvaros plānots vienots projekts ar konkrēti identificētām vietām </w:t>
            </w:r>
            <w:proofErr w:type="spellStart"/>
            <w:r w:rsidR="00AC4204">
              <w:rPr>
                <w:rFonts w:ascii="Times New Roman" w:hAnsi="Times New Roman" w:cs="Times New Roman"/>
                <w:sz w:val="20"/>
                <w:szCs w:val="20"/>
              </w:rPr>
              <w:t>biometāna</w:t>
            </w:r>
            <w:proofErr w:type="spellEnd"/>
            <w:r w:rsidR="00AC4204">
              <w:rPr>
                <w:rFonts w:ascii="Times New Roman" w:hAnsi="Times New Roman" w:cs="Times New Roman"/>
                <w:sz w:val="20"/>
                <w:szCs w:val="20"/>
              </w:rPr>
              <w:t xml:space="preserve"> ievades punktu izveidei, kas ir </w:t>
            </w:r>
            <w:r w:rsidR="00AC4204" w:rsidRPr="00FE4906">
              <w:rPr>
                <w:rFonts w:ascii="Times New Roman" w:hAnsi="Times New Roman" w:cs="Times New Roman"/>
                <w:sz w:val="20"/>
                <w:szCs w:val="20"/>
              </w:rPr>
              <w:t xml:space="preserve">tautsaimniecībai </w:t>
            </w:r>
            <w:r w:rsidR="00AC4204">
              <w:rPr>
                <w:rFonts w:ascii="Times New Roman" w:hAnsi="Times New Roman" w:cs="Times New Roman"/>
                <w:sz w:val="20"/>
                <w:szCs w:val="20"/>
              </w:rPr>
              <w:t xml:space="preserve">(enerģētiskās neatkarības stiprināšanai) </w:t>
            </w:r>
            <w:r w:rsidR="00AC4204" w:rsidRPr="00FE4906">
              <w:rPr>
                <w:rFonts w:ascii="Times New Roman" w:hAnsi="Times New Roman" w:cs="Times New Roman"/>
                <w:sz w:val="20"/>
                <w:szCs w:val="20"/>
              </w:rPr>
              <w:t>nozīmīg</w:t>
            </w:r>
            <w:r w:rsidR="00AC4204">
              <w:rPr>
                <w:rFonts w:ascii="Times New Roman" w:hAnsi="Times New Roman" w:cs="Times New Roman"/>
                <w:sz w:val="20"/>
                <w:szCs w:val="20"/>
              </w:rPr>
              <w:t xml:space="preserve">s projekts.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204">
              <w:rPr>
                <w:rFonts w:ascii="Times New Roman" w:hAnsi="Times New Roman" w:cs="Times New Roman"/>
                <w:sz w:val="20"/>
                <w:szCs w:val="20"/>
              </w:rPr>
              <w:t xml:space="preserve">Vienlaikus finansējuma saņēmējs </w:t>
            </w:r>
            <w:r w:rsidRPr="003A09F6">
              <w:rPr>
                <w:rFonts w:ascii="Times New Roman" w:hAnsi="Times New Roman" w:cs="Times New Roman"/>
                <w:sz w:val="20"/>
                <w:szCs w:val="20"/>
              </w:rPr>
              <w:t>ir dabīgi izveidojies monopols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attiecīgā jomā nodrošināmo pakalpojumu veikšanai</w:t>
            </w:r>
            <w:r w:rsidR="00AC42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535A8" w:rsidRPr="0051294F" w14:paraId="56F7C373" w14:textId="36D7A055" w:rsidTr="000603BA">
        <w:trPr>
          <w:trHeight w:val="300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DA28" w14:textId="6BFF1865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E37190F" w14:textId="3F39CD9E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Klimata un enerģētikas ministrija</w:t>
            </w:r>
          </w:p>
        </w:tc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16D5" w14:textId="245EB369" w:rsidR="001535A8" w:rsidRPr="00F42AB0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2.1.4.SAM “</w:t>
            </w:r>
            <w:r w:rsidRPr="001565F4">
              <w:rPr>
                <w:rFonts w:ascii="Times New Roman" w:hAnsi="Times New Roman" w:cs="Times New Roman"/>
                <w:sz w:val="20"/>
                <w:szCs w:val="20"/>
              </w:rPr>
              <w:t>Attīstīt viedas energosistēmas, tīklus un enerģijas akumulāciju ārpus Eiropas enerģētikas tīkla (TEN-E)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E709" w14:textId="3337FAA4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0F46" w14:textId="461D34AC" w:rsidR="001535A8" w:rsidRPr="00F42AB0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“Sadales tīkls”; “Augstsprieguma tīkls”</w:t>
            </w:r>
          </w:p>
        </w:tc>
        <w:tc>
          <w:tcPr>
            <w:tcW w:w="3528" w:type="dxa"/>
          </w:tcPr>
          <w:p w14:paraId="092EBAEB" w14:textId="5F7F58D7" w:rsidR="001535A8" w:rsidRPr="001565F4" w:rsidRDefault="001535A8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Finansējuma saņēmēji – </w:t>
            </w:r>
            <w:r w:rsidRPr="000D5510">
              <w:rPr>
                <w:rFonts w:ascii="Times New Roman" w:hAnsi="Times New Roman" w:cs="Times New Roman"/>
                <w:sz w:val="20"/>
                <w:szCs w:val="20"/>
              </w:rPr>
              <w:t xml:space="preserve">Latvijas elektroenerģijas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sadales</w:t>
            </w:r>
            <w:r w:rsidRPr="000D5510">
              <w:rPr>
                <w:rFonts w:ascii="Times New Roman" w:hAnsi="Times New Roman" w:cs="Times New Roman"/>
                <w:sz w:val="20"/>
                <w:szCs w:val="20"/>
              </w:rPr>
              <w:t xml:space="preserve"> sistēmas operators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 “Sadales tīkls” un vienīgais </w:t>
            </w:r>
            <w:r w:rsidRPr="000D5510">
              <w:rPr>
                <w:rFonts w:ascii="Times New Roman" w:hAnsi="Times New Roman" w:cs="Times New Roman"/>
                <w:sz w:val="20"/>
                <w:szCs w:val="20"/>
              </w:rPr>
              <w:t xml:space="preserve">Latvijas elektroenerģijas pārvades sistēmas operators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“Augstsprieguma tīkli īstenos </w:t>
            </w:r>
            <w:r w:rsidRPr="00FE4906">
              <w:rPr>
                <w:rFonts w:ascii="Times New Roman" w:hAnsi="Times New Roman" w:cs="Times New Roman"/>
                <w:sz w:val="20"/>
                <w:szCs w:val="20"/>
              </w:rPr>
              <w:t xml:space="preserve">tautsaimniecībai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(enerģētiskās neatkarības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stiprināšanai) </w:t>
            </w:r>
            <w:r w:rsidRPr="00FE4906">
              <w:rPr>
                <w:rFonts w:ascii="Times New Roman" w:hAnsi="Times New Roman" w:cs="Times New Roman"/>
                <w:sz w:val="20"/>
                <w:szCs w:val="20"/>
              </w:rPr>
              <w:t>nozīmīg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projektus.</w:t>
            </w:r>
            <w:r w:rsidR="00AC4204">
              <w:rPr>
                <w:rFonts w:ascii="Times New Roman" w:hAnsi="Times New Roman" w:cs="Times New Roman"/>
                <w:sz w:val="20"/>
                <w:szCs w:val="20"/>
              </w:rPr>
              <w:t xml:space="preserve"> Katram sistēmas operatoram plānots viens projekts ar konkrēti identificētām darbībām enerģētiskās drošības un neatkarības stiprināšanai. Abi finansējuma saņēmēji ir dabīgi izveidojušies monopoli attiecīgā jomā nodrošināmo pakalpojumu veikšanai.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35A8" w:rsidRPr="0051294F" w14:paraId="1EBB6398" w14:textId="60C57B46" w:rsidTr="000603BA">
        <w:trPr>
          <w:trHeight w:val="300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F90A" w14:textId="3457BBA6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2E8F104" w14:textId="1F75B19C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Viedās administrācijas un reģionālās attīstības ministrija</w:t>
            </w:r>
          </w:p>
        </w:tc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EE02" w14:textId="17E7D091" w:rsidR="001535A8" w:rsidRPr="0051294F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AB0">
              <w:rPr>
                <w:rFonts w:ascii="Times New Roman" w:hAnsi="Times New Roman" w:cs="Times New Roman"/>
                <w:sz w:val="20"/>
                <w:szCs w:val="20"/>
              </w:rPr>
              <w:t>2.2.1.1.pasākum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42AB0">
              <w:rPr>
                <w:rFonts w:ascii="Times New Roman" w:hAnsi="Times New Roman" w:cs="Times New Roman"/>
                <w:sz w:val="20"/>
                <w:szCs w:val="20"/>
              </w:rPr>
              <w:t xml:space="preserve"> “Notekūdeņu un to dūņu apsaimniekošanas sistēmas attīstība piesārņojuma samazināšanai” 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AE7A" w14:textId="5DF989D4" w:rsidR="001535A8" w:rsidRPr="0051294F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3971" w14:textId="3CEBBACE" w:rsidR="001535A8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AB0">
              <w:rPr>
                <w:rFonts w:ascii="Times New Roman" w:hAnsi="Times New Roman" w:cs="Times New Roman"/>
                <w:sz w:val="20"/>
                <w:szCs w:val="20"/>
              </w:rPr>
              <w:t>SIA “Rīgas ūdens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28" w:type="dxa"/>
          </w:tcPr>
          <w:p w14:paraId="74293363" w14:textId="4783374C" w:rsidR="005B4D9C" w:rsidRPr="005B4D9C" w:rsidRDefault="001535A8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Plānots viens projekts, </w:t>
            </w:r>
            <w:r w:rsidR="00211B4D">
              <w:rPr>
                <w:rFonts w:ascii="Times New Roman" w:hAnsi="Times New Roman" w:cs="Times New Roman"/>
                <w:sz w:val="20"/>
                <w:szCs w:val="20"/>
              </w:rPr>
              <w:t xml:space="preserve">atbalsts </w:t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 xml:space="preserve">paredzēts tikai vienam projekta iesniedzējam – SIA “Rīgas ūdens”, atbalstu piešķirot sabiedriskā pakalpojuma darbībām. Tādējādi tam tiks piemērotas 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 xml:space="preserve">EK </w:t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>lēmuma Nr. 2012/21/ES</w:t>
            </w:r>
            <w:r w:rsidR="00AA194F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>prasības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>attiecīgi</w:t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 xml:space="preserve"> šajā projektu iesniegumu atlases kārtā tiks piemērotas tikai tās komercdarbības atbalsta prasības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>, kas pārbaudāmas ar</w:t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 xml:space="preserve"> vienotie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>m/</w:t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 xml:space="preserve"> vienotie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11B4D" w:rsidRPr="00211B4D">
              <w:rPr>
                <w:rFonts w:ascii="Times New Roman" w:hAnsi="Times New Roman" w:cs="Times New Roman"/>
                <w:sz w:val="20"/>
                <w:szCs w:val="20"/>
              </w:rPr>
              <w:t xml:space="preserve"> izvēles kritēriji. </w:t>
            </w:r>
            <w:r w:rsidR="00AA194F" w:rsidRPr="00211B4D">
              <w:rPr>
                <w:rFonts w:ascii="Times New Roman" w:hAnsi="Times New Roman" w:cs="Times New Roman"/>
                <w:sz w:val="20"/>
                <w:szCs w:val="20"/>
              </w:rPr>
              <w:t>Citi komercdarbības atbalsta nosacījumi netiks piemēroti.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 xml:space="preserve"> Projekta būtiskumu pamato fakts</w:t>
            </w:r>
            <w:r w:rsidR="00AA194F" w:rsidRPr="00AA194F">
              <w:rPr>
                <w:rFonts w:ascii="Times New Roman" w:hAnsi="Times New Roman" w:cs="Times New Roman"/>
                <w:sz w:val="20"/>
                <w:szCs w:val="20"/>
              </w:rPr>
              <w:t xml:space="preserve">, ka Rīgas ūdenssaimniecības aglomerācija ir vienīgā Latvijā, kur radītais notekūdeņu piesārņojums ir lielāks par 100 000 </w:t>
            </w:r>
            <w:proofErr w:type="spellStart"/>
            <w:r w:rsidR="00AA194F" w:rsidRPr="00AA194F">
              <w:rPr>
                <w:rFonts w:ascii="Times New Roman" w:hAnsi="Times New Roman" w:cs="Times New Roman"/>
                <w:sz w:val="20"/>
                <w:szCs w:val="20"/>
              </w:rPr>
              <w:t>cilvēkekvivalenta</w:t>
            </w:r>
            <w:proofErr w:type="spellEnd"/>
            <w:r w:rsidR="00AA194F" w:rsidRPr="00AA194F">
              <w:rPr>
                <w:rFonts w:ascii="Times New Roman" w:hAnsi="Times New Roman" w:cs="Times New Roman"/>
                <w:sz w:val="20"/>
                <w:szCs w:val="20"/>
              </w:rPr>
              <w:t xml:space="preserve"> vienībām.</w:t>
            </w:r>
            <w:r w:rsidR="00AA194F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AA194F" w:rsidRPr="00AA19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94F">
              <w:rPr>
                <w:rFonts w:ascii="Times New Roman" w:hAnsi="Times New Roman" w:cs="Times New Roman"/>
                <w:sz w:val="20"/>
                <w:szCs w:val="20"/>
              </w:rPr>
              <w:t>Vienlaikus p</w:t>
            </w:r>
            <w:r w:rsidR="005B4D9C" w:rsidRPr="005B4D9C">
              <w:rPr>
                <w:rFonts w:ascii="Times New Roman" w:hAnsi="Times New Roman" w:cs="Times New Roman"/>
                <w:sz w:val="20"/>
                <w:szCs w:val="20"/>
              </w:rPr>
              <w:t>rojekts ir augstas gatavības pakāpes. MK noteikumu projekta starpinstitūciju saskaņošanas uzsākšana TAP portālā – 2025. gada marts/aprīlis.</w:t>
            </w:r>
          </w:p>
          <w:p w14:paraId="13170539" w14:textId="6BA56063" w:rsidR="001535A8" w:rsidRPr="00F42AB0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A8" w:rsidRPr="0051294F" w14:paraId="57E09684" w14:textId="77777777" w:rsidTr="000603BA">
        <w:trPr>
          <w:trHeight w:val="300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FC67" w14:textId="77777777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420B27D" w14:textId="5A7F48EF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Satiksmes ministrija</w:t>
            </w:r>
          </w:p>
        </w:tc>
        <w:tc>
          <w:tcPr>
            <w:tcW w:w="46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52A9" w14:textId="601DEF82" w:rsidR="001535A8" w:rsidRPr="00F42AB0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3.2.1.SAM “</w:t>
            </w:r>
            <w:r w:rsidRPr="00275762">
              <w:rPr>
                <w:rFonts w:ascii="Times New Roman" w:hAnsi="Times New Roman" w:cs="Times New Roman"/>
                <w:sz w:val="20"/>
                <w:szCs w:val="20"/>
              </w:rPr>
              <w:t xml:space="preserve">Attīstīt un izvērst ilgtspējīgu, </w:t>
            </w:r>
            <w:proofErr w:type="spellStart"/>
            <w:r w:rsidRPr="00275762">
              <w:rPr>
                <w:rFonts w:ascii="Times New Roman" w:hAnsi="Times New Roman" w:cs="Times New Roman"/>
                <w:sz w:val="20"/>
                <w:szCs w:val="20"/>
              </w:rPr>
              <w:t>klimatnoturīgu</w:t>
            </w:r>
            <w:proofErr w:type="spellEnd"/>
            <w:r w:rsidRPr="00275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5762">
              <w:rPr>
                <w:rFonts w:ascii="Times New Roman" w:hAnsi="Times New Roman" w:cs="Times New Roman"/>
                <w:sz w:val="20"/>
                <w:szCs w:val="20"/>
              </w:rPr>
              <w:t>intelektisku</w:t>
            </w:r>
            <w:proofErr w:type="spellEnd"/>
            <w:r w:rsidRPr="00275762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275762">
              <w:rPr>
                <w:rFonts w:ascii="Times New Roman" w:hAnsi="Times New Roman" w:cs="Times New Roman"/>
                <w:sz w:val="20"/>
                <w:szCs w:val="20"/>
              </w:rPr>
              <w:t>intermodālu</w:t>
            </w:r>
            <w:proofErr w:type="spellEnd"/>
            <w:r w:rsidRPr="00275762">
              <w:rPr>
                <w:rFonts w:ascii="Times New Roman" w:hAnsi="Times New Roman" w:cs="Times New Roman"/>
                <w:sz w:val="20"/>
                <w:szCs w:val="20"/>
              </w:rPr>
              <w:t xml:space="preserve"> mobilitāti valsts, reģionālā un vietējā līmenī, tostarp uzlabotu piekļuvi TEN-T un pārrobežu mobilitāti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CA6E" w14:textId="777A43A3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97CF" w14:textId="2881B642" w:rsidR="001535A8" w:rsidRPr="00F42AB0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Daugavpils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pašvaldība</w:t>
            </w:r>
          </w:p>
        </w:tc>
        <w:tc>
          <w:tcPr>
            <w:tcW w:w="3528" w:type="dxa"/>
          </w:tcPr>
          <w:p w14:paraId="172CB118" w14:textId="1998AC85" w:rsidR="00AE2D44" w:rsidRDefault="00AE2D44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D44">
              <w:rPr>
                <w:rFonts w:ascii="Times New Roman" w:hAnsi="Times New Roman" w:cs="Times New Roman"/>
                <w:sz w:val="20"/>
                <w:szCs w:val="20"/>
              </w:rPr>
              <w:t xml:space="preserve">Ieguldījumi plānoti transporta infrastruktūras attīstībā, veicot Vienības tilta (Daugavpilī) pārbūvi. Tiks uzlabota civilās un militārās mobilitātes savienojuma efektivitāte un drošība Daugavpils </w:t>
            </w:r>
            <w:proofErr w:type="spellStart"/>
            <w:r w:rsidRPr="00AE2D44">
              <w:rPr>
                <w:rFonts w:ascii="Times New Roman" w:hAnsi="Times New Roman" w:cs="Times New Roman"/>
                <w:sz w:val="20"/>
                <w:szCs w:val="20"/>
              </w:rPr>
              <w:t>valstspilsētā</w:t>
            </w:r>
            <w:proofErr w:type="spellEnd"/>
            <w:r w:rsidRPr="00AE2D44">
              <w:rPr>
                <w:rFonts w:ascii="Times New Roman" w:hAnsi="Times New Roman" w:cs="Times New Roman"/>
                <w:sz w:val="20"/>
                <w:szCs w:val="20"/>
              </w:rPr>
              <w:t xml:space="preserve"> un Latgales reģionā, rekonstruējot Vienības tiltu. Ieguldījumi arī uzlabos savienojamību ar valsts autoceļu tīklu un Eiropas transporta tīklu (TEN-T), </w:t>
            </w:r>
            <w:r w:rsidRPr="00AE2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samazinās sastrēgumus, samazinās siltumnīcefekta gāzu emisijas, kā arī paaugstinās kopējo satiksmes drošību un infrastruktūras kvalitāti.</w:t>
            </w:r>
          </w:p>
          <w:p w14:paraId="7AA99C5D" w14:textId="5AE17AB1" w:rsidR="001535A8" w:rsidRDefault="001535A8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Plānots viens projekts, finansējuma saņēmējs ir pašvaldība.</w:t>
            </w:r>
          </w:p>
        </w:tc>
      </w:tr>
      <w:tr w:rsidR="00EB012A" w:rsidRPr="0051294F" w14:paraId="700F64CE" w14:textId="77777777" w:rsidTr="00BC0063">
        <w:trPr>
          <w:trHeight w:val="642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1CE9" w14:textId="77777777" w:rsidR="00EB012A" w:rsidRPr="001565F4" w:rsidRDefault="00EB012A" w:rsidP="00BC00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D8F5" w14:textId="77777777" w:rsidR="00EB012A" w:rsidRPr="0051294F" w:rsidRDefault="00EB012A" w:rsidP="00BC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Valsts kanceleja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FF55" w14:textId="77777777" w:rsidR="00EB012A" w:rsidRPr="0051294F" w:rsidRDefault="00EB012A" w:rsidP="00BC0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4.2.1.1.pasākums “Infrastruktūras izveide starpnozaru sadarbības un atbalsta sistēmas izveidei bērnu attīstībai”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1412" w14:textId="77777777" w:rsidR="00EB012A" w:rsidRPr="0051294F" w:rsidRDefault="00EB012A" w:rsidP="00BC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AA81" w14:textId="77777777" w:rsidR="00EB012A" w:rsidRDefault="00EB012A" w:rsidP="00BC0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E7F">
              <w:rPr>
                <w:rFonts w:ascii="Times New Roman" w:hAnsi="Times New Roman" w:cs="Times New Roman"/>
                <w:sz w:val="20"/>
                <w:szCs w:val="20"/>
              </w:rPr>
              <w:t>VSIA “Bērnu klīniskā universitātes slimnīca”</w:t>
            </w:r>
          </w:p>
          <w:p w14:paraId="4F69DC49" w14:textId="77777777" w:rsidR="00EB012A" w:rsidRPr="0051294F" w:rsidRDefault="00EB012A" w:rsidP="00BC0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14:paraId="2B34AE58" w14:textId="77777777" w:rsidR="00EB012A" w:rsidRDefault="00EB012A" w:rsidP="00BC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E72">
              <w:rPr>
                <w:rFonts w:ascii="Times New Roman" w:hAnsi="Times New Roman" w:cs="Times New Roman"/>
                <w:sz w:val="20"/>
                <w:szCs w:val="20"/>
              </w:rPr>
              <w:t>Ir jau spēkā esošs UK lēmums par IPIA izņēmumu 23.04.2024.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bet nepieciešams precizēt </w:t>
            </w:r>
            <w:r w:rsidRPr="00116E72">
              <w:rPr>
                <w:rFonts w:ascii="Times New Roman" w:hAnsi="Times New Roman" w:cs="Times New Roman"/>
                <w:sz w:val="20"/>
                <w:szCs w:val="20"/>
              </w:rPr>
              <w:t xml:space="preserve">projekta iesniedzēju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(iepriekš bija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Pārresoru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koordinācijas centrs) </w:t>
            </w:r>
            <w:r w:rsidRPr="00116E72">
              <w:rPr>
                <w:rFonts w:ascii="Times New Roman" w:hAnsi="Times New Roman" w:cs="Times New Roman"/>
                <w:sz w:val="20"/>
                <w:szCs w:val="20"/>
              </w:rPr>
              <w:t>un AI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iepriekš bija </w:t>
            </w:r>
            <w:r w:rsidRPr="00116E72">
              <w:rPr>
                <w:rFonts w:ascii="Times New Roman" w:hAnsi="Times New Roman" w:cs="Times New Roman"/>
                <w:sz w:val="20"/>
                <w:szCs w:val="20"/>
              </w:rPr>
              <w:t>IZM).</w:t>
            </w:r>
          </w:p>
          <w:p w14:paraId="1F1126EF" w14:textId="77777777" w:rsidR="00EB012A" w:rsidRPr="0067119F" w:rsidRDefault="00EB012A" w:rsidP="00BC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Plānots viens projekts, finansējuma saņēmējs ir sabiedrisko pakalpojumu sniedzējs.</w:t>
            </w:r>
          </w:p>
        </w:tc>
      </w:tr>
      <w:tr w:rsidR="001535A8" w:rsidRPr="0051294F" w14:paraId="4A9303BB" w14:textId="32DC303C" w:rsidTr="000603BA">
        <w:trPr>
          <w:trHeight w:val="882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0FD0" w14:textId="22E4994D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9339" w14:textId="12245768" w:rsidR="001535A8" w:rsidRPr="0051294F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Valsts kanceleja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359B" w14:textId="488B4CC8" w:rsidR="001535A8" w:rsidRPr="0051294F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sz w:val="20"/>
                <w:szCs w:val="20"/>
              </w:rPr>
              <w:t xml:space="preserve">4.3.6.7.pasākum “Starpnozaru sadarbības un atbalsta sistēmas izveide bērnu veselīgai attīstībai un sekmīgai </w:t>
            </w:r>
            <w:proofErr w:type="spellStart"/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pašrealizācijai</w:t>
            </w:r>
            <w:proofErr w:type="spellEnd"/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3647" w14:textId="77777777" w:rsidR="001535A8" w:rsidRPr="0051294F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19C2" w14:textId="47A8CDF5" w:rsidR="001535A8" w:rsidRPr="0051294F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sz w:val="20"/>
                <w:szCs w:val="20"/>
              </w:rPr>
              <w:t xml:space="preserve">Valsts kancelejas </w:t>
            </w:r>
            <w:proofErr w:type="spellStart"/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Pārresoru</w:t>
            </w:r>
            <w:proofErr w:type="spellEnd"/>
            <w:r w:rsidRPr="0051294F">
              <w:rPr>
                <w:rFonts w:ascii="Times New Roman" w:hAnsi="Times New Roman" w:cs="Times New Roman"/>
                <w:sz w:val="20"/>
                <w:szCs w:val="20"/>
              </w:rPr>
              <w:t xml:space="preserve"> koordinācijas departaments</w:t>
            </w:r>
          </w:p>
        </w:tc>
        <w:tc>
          <w:tcPr>
            <w:tcW w:w="3528" w:type="dxa"/>
          </w:tcPr>
          <w:p w14:paraId="572D1730" w14:textId="5006CB55" w:rsidR="001535A8" w:rsidRDefault="001535A8" w:rsidP="00153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inistru kabineta noteikumi</w:t>
            </w: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 xml:space="preserve"> un kritēriji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 </w:t>
            </w: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>apstiprināti 2023.g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adā</w:t>
            </w: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 xml:space="preserve"> par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abām kārtām, vieni. Arī 2. kārtā p</w:t>
            </w: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>lānots viens projekts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 xml:space="preserve"> finansējuma saņēmējs 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valsts pārvaldes iestāde – </w:t>
            </w: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 xml:space="preserve">Valsts kancelejas </w:t>
            </w:r>
            <w:proofErr w:type="spellStart"/>
            <w:r w:rsidRPr="00C026FF">
              <w:rPr>
                <w:rFonts w:ascii="Times New Roman" w:hAnsi="Times New Roman" w:cs="Times New Roman"/>
                <w:sz w:val="20"/>
                <w:szCs w:val="20"/>
              </w:rPr>
              <w:t>Pārresoru</w:t>
            </w:r>
            <w:proofErr w:type="spellEnd"/>
            <w:r w:rsidRPr="00C026FF">
              <w:rPr>
                <w:rFonts w:ascii="Times New Roman" w:hAnsi="Times New Roman" w:cs="Times New Roman"/>
                <w:sz w:val="20"/>
                <w:szCs w:val="20"/>
              </w:rPr>
              <w:t xml:space="preserve"> koordinācijas departaments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43342D7" w14:textId="75E5512E" w:rsidR="001535A8" w:rsidRPr="0051294F" w:rsidRDefault="001535A8" w:rsidP="00153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6FF">
              <w:rPr>
                <w:rFonts w:ascii="Times New Roman" w:hAnsi="Times New Roman" w:cs="Times New Roman"/>
                <w:sz w:val="20"/>
                <w:szCs w:val="20"/>
              </w:rPr>
              <w:t>Iekļaušana izņēmumu sarakstā mazinātu administratīvo slogu vērtēšanā,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balstoties uz to, ka vienu reizi šim projekta iesniedzējam kritēriju vērtēšanas process jau ir sekmīgi veikts.</w:t>
            </w:r>
          </w:p>
        </w:tc>
      </w:tr>
      <w:tr w:rsidR="001535A8" w:rsidRPr="0051294F" w14:paraId="2FCE52E4" w14:textId="7D981229" w:rsidTr="000603BA">
        <w:trPr>
          <w:trHeight w:val="938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1D4C" w14:textId="36D9F644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C519" w14:textId="012B63D9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Viedās administrācijas un reģionālās attīstības ministrija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74AE" w14:textId="695AE898" w:rsidR="001535A8" w:rsidRPr="00F42AB0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AB0">
              <w:rPr>
                <w:rFonts w:ascii="Times New Roman" w:hAnsi="Times New Roman" w:cs="Times New Roman"/>
                <w:sz w:val="20"/>
                <w:szCs w:val="20"/>
              </w:rPr>
              <w:t>5.1.1.8. pasākums “Divējāda lietojuma infrastruktūras attīstība”;</w:t>
            </w:r>
          </w:p>
          <w:p w14:paraId="6D123DC6" w14:textId="5E55BD7E" w:rsidR="001535A8" w:rsidRPr="0051294F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D222" w14:textId="793C7516" w:rsidR="001535A8" w:rsidRPr="0051294F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5045" w14:textId="0FED3BE6" w:rsidR="001535A8" w:rsidRPr="0051294F" w:rsidRDefault="005B4D9C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>Satiksmes ministrija (VSIA “Latvijas Valsts ceļi”)</w:t>
            </w:r>
          </w:p>
        </w:tc>
        <w:tc>
          <w:tcPr>
            <w:tcW w:w="3528" w:type="dxa"/>
          </w:tcPr>
          <w:p w14:paraId="3B02BCF4" w14:textId="77777777" w:rsidR="001535A8" w:rsidRDefault="001535A8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Plānots viens projekts, kur finansējuma saņēmējs būs valsts pārvaldes iestāde (SM/LVC).</w:t>
            </w:r>
          </w:p>
          <w:p w14:paraId="282E06E3" w14:textId="77777777" w:rsidR="005B4D9C" w:rsidRPr="005B4D9C" w:rsidRDefault="005B4D9C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>Komercdarbības atbalsts nav paredzēts.</w:t>
            </w:r>
          </w:p>
          <w:p w14:paraId="4DFDA9DA" w14:textId="08CB01E4" w:rsidR="005B4D9C" w:rsidRDefault="005B4D9C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>2025. gada 6. martā uzsākta MK noteikumu projekta starpinstitūciju saskaņošana TAP portālā – projekta ID</w:t>
            </w:r>
            <w:r w:rsidRPr="005B4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5B4D9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25-TA-570</w:t>
              </w:r>
            </w:hyperlink>
            <w:r w:rsidRPr="005B4D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535A8" w:rsidRPr="0051294F" w14:paraId="5ADC5D34" w14:textId="1769ECE2" w:rsidTr="000603BA">
        <w:trPr>
          <w:trHeight w:val="980"/>
        </w:trPr>
        <w:tc>
          <w:tcPr>
            <w:tcW w:w="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B0C5" w14:textId="62C959A1" w:rsidR="001535A8" w:rsidRPr="001565F4" w:rsidRDefault="001535A8" w:rsidP="001535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4657" w14:textId="78A23BD1" w:rsidR="001535A8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Viedās administrācijas un reģionālās attīstības ministrija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611A" w14:textId="1A537519" w:rsidR="001535A8" w:rsidRPr="0051294F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AB0">
              <w:rPr>
                <w:rFonts w:ascii="Times New Roman" w:hAnsi="Times New Roman" w:cs="Times New Roman"/>
                <w:sz w:val="20"/>
                <w:szCs w:val="20"/>
              </w:rPr>
              <w:t>5.1.1.9. pasākums “Objektu (patvertņu) pielāgošana un aprīkošana civilās aizsardzības mērķiem”</w:t>
            </w:r>
          </w:p>
        </w:tc>
        <w:tc>
          <w:tcPr>
            <w:tcW w:w="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190F" w14:textId="1F64C747" w:rsidR="001535A8" w:rsidRPr="0051294F" w:rsidRDefault="001535A8" w:rsidP="0015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1D8" w14:textId="77777777" w:rsidR="00260E3A" w:rsidRPr="000C5D2A" w:rsidRDefault="00260E3A" w:rsidP="00260E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D2A">
              <w:rPr>
                <w:rFonts w:ascii="Times New Roman" w:hAnsi="Times New Roman" w:cs="Times New Roman"/>
                <w:sz w:val="20"/>
                <w:szCs w:val="20"/>
              </w:rPr>
              <w:t xml:space="preserve">Valsts tiešās pārvaldes iestāde, pašvaldība vai tās izveidota iestāde, valsts vai pašvaldības kapitālsabiedrība, kas veic deleģēto pārvaldes uzdevumu izpildi, augstākās izglītības un zinātnes institūcija, kas īsteno studiju programmas </w:t>
            </w:r>
            <w:r w:rsidRPr="000C5D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 veic zinātnisko darbību, vai cita Ministru kabineta rīkojumā norādītā publisko tiesību juridiskā persona.</w:t>
            </w:r>
          </w:p>
          <w:p w14:paraId="3F1D1C88" w14:textId="1B1F9F81" w:rsidR="001535A8" w:rsidRPr="0051294F" w:rsidRDefault="001535A8" w:rsidP="00153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14:paraId="631925E3" w14:textId="77777777" w:rsidR="005B4D9C" w:rsidRPr="005B4D9C" w:rsidRDefault="001535A8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5B4D9C" w:rsidRPr="005B4D9C">
              <w:rPr>
                <w:rFonts w:ascii="Times New Roman" w:hAnsi="Times New Roman" w:cs="Times New Roman"/>
                <w:sz w:val="20"/>
                <w:szCs w:val="20"/>
              </w:rPr>
              <w:t>Iekšlietu</w:t>
            </w:r>
            <w:proofErr w:type="spellEnd"/>
            <w:r w:rsidR="005B4D9C" w:rsidRPr="005B4D9C">
              <w:rPr>
                <w:rFonts w:ascii="Times New Roman" w:hAnsi="Times New Roman" w:cs="Times New Roman"/>
                <w:sz w:val="20"/>
                <w:szCs w:val="20"/>
              </w:rPr>
              <w:t xml:space="preserve"> ministrija  veic projektu (civilās aizsardzības mērķiem pielāgojamo  un aprīkojamo objektu (patvertņu)) </w:t>
            </w:r>
            <w:proofErr w:type="spellStart"/>
            <w:r w:rsidR="005B4D9C" w:rsidRPr="005B4D9C">
              <w:rPr>
                <w:rFonts w:ascii="Times New Roman" w:hAnsi="Times New Roman" w:cs="Times New Roman"/>
                <w:sz w:val="20"/>
                <w:szCs w:val="20"/>
              </w:rPr>
              <w:t>priekšatlasi</w:t>
            </w:r>
            <w:proofErr w:type="spellEnd"/>
            <w:r w:rsidR="005B4D9C" w:rsidRPr="005B4D9C">
              <w:rPr>
                <w:rFonts w:ascii="Times New Roman" w:hAnsi="Times New Roman" w:cs="Times New Roman"/>
                <w:sz w:val="20"/>
                <w:szCs w:val="20"/>
              </w:rPr>
              <w:t xml:space="preserve">. Atbalstāmo projektu (objektu) saraksts tiks apstiprināts ar Ministru kabineta rīkojumu. </w:t>
            </w:r>
          </w:p>
          <w:p w14:paraId="56CF7405" w14:textId="77777777" w:rsidR="005B4D9C" w:rsidRPr="005B4D9C" w:rsidRDefault="005B4D9C" w:rsidP="005B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>Komercdarbības atbalsts nav paredzēts.</w:t>
            </w:r>
          </w:p>
          <w:p w14:paraId="55B16807" w14:textId="2736CD24" w:rsidR="001535A8" w:rsidRDefault="005B4D9C" w:rsidP="0080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D9C">
              <w:rPr>
                <w:rFonts w:ascii="Times New Roman" w:hAnsi="Times New Roman" w:cs="Times New Roman"/>
                <w:sz w:val="20"/>
                <w:szCs w:val="20"/>
              </w:rPr>
              <w:t xml:space="preserve">2025. gada 12.martā uzsākta MK noteikumu projekta starpinstitūciju saskaņošana TAP portālā – projekta ID </w:t>
            </w:r>
            <w:hyperlink r:id="rId10" w:history="1">
              <w:r w:rsidRPr="005B4D9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25-TA-640</w:t>
              </w:r>
            </w:hyperlink>
            <w:r w:rsidRPr="005B4D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62605A2" w14:textId="77777777" w:rsidR="004D38D0" w:rsidRDefault="004D38D0"/>
    <w:sectPr w:rsidR="004D38D0" w:rsidSect="00060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8518" w14:textId="77777777" w:rsidR="00A5126A" w:rsidRDefault="00A5126A" w:rsidP="007E27A3">
      <w:pPr>
        <w:spacing w:after="0" w:line="240" w:lineRule="auto"/>
      </w:pPr>
      <w:r>
        <w:separator/>
      </w:r>
    </w:p>
  </w:endnote>
  <w:endnote w:type="continuationSeparator" w:id="0">
    <w:p w14:paraId="14509810" w14:textId="77777777" w:rsidR="00A5126A" w:rsidRDefault="00A5126A" w:rsidP="007E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C9EE" w14:textId="77777777" w:rsidR="00A5126A" w:rsidRDefault="00A5126A" w:rsidP="007E27A3">
      <w:pPr>
        <w:spacing w:after="0" w:line="240" w:lineRule="auto"/>
      </w:pPr>
      <w:r>
        <w:separator/>
      </w:r>
    </w:p>
  </w:footnote>
  <w:footnote w:type="continuationSeparator" w:id="0">
    <w:p w14:paraId="3FCAFD5B" w14:textId="77777777" w:rsidR="00A5126A" w:rsidRDefault="00A5126A" w:rsidP="007E27A3">
      <w:pPr>
        <w:spacing w:after="0" w:line="240" w:lineRule="auto"/>
      </w:pPr>
      <w:r>
        <w:continuationSeparator/>
      </w:r>
    </w:p>
  </w:footnote>
  <w:footnote w:id="1">
    <w:p w14:paraId="7F4AF221" w14:textId="20D94218" w:rsidR="00AA194F" w:rsidRDefault="00AA19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1B4D">
        <w:rPr>
          <w:rFonts w:ascii="Times New Roman" w:hAnsi="Times New Roman" w:cs="Times New Roman"/>
        </w:rPr>
        <w:t>Eiropas Komisijas 2011. gada 20. decembra lēmum</w:t>
      </w:r>
      <w:r>
        <w:rPr>
          <w:rFonts w:ascii="Times New Roman" w:hAnsi="Times New Roman" w:cs="Times New Roman"/>
        </w:rPr>
        <w:t>s</w:t>
      </w:r>
      <w:r w:rsidRPr="00211B4D">
        <w:rPr>
          <w:rFonts w:ascii="Times New Roman" w:hAnsi="Times New Roman" w:cs="Times New Roman"/>
        </w:rPr>
        <w:t xml:space="preserve"> Nr. 2012/21/ES </w:t>
      </w:r>
      <w:r w:rsidRPr="00211B4D">
        <w:rPr>
          <w:rFonts w:ascii="Times New Roman" w:hAnsi="Times New Roman" w:cs="Times New Roman"/>
          <w:i/>
          <w:iCs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</w:p>
  </w:footnote>
  <w:footnote w:id="2">
    <w:p w14:paraId="45B1B91B" w14:textId="1AEF45A2" w:rsidR="00AA194F" w:rsidRDefault="00AA19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VARAM</w:t>
      </w:r>
      <w:r w:rsidRPr="00AA194F">
        <w:rPr>
          <w:rFonts w:ascii="Times New Roman" w:hAnsi="Times New Roman" w:cs="Times New Roman"/>
        </w:rPr>
        <w:t xml:space="preserve"> tīmekļvietnē ir publicēti </w:t>
      </w:r>
      <w:hyperlink r:id="rId1" w:history="1">
        <w:r w:rsidRPr="00AA194F">
          <w:rPr>
            <w:rStyle w:val="Hyperlink"/>
            <w:rFonts w:ascii="Times New Roman" w:hAnsi="Times New Roman" w:cs="Times New Roman"/>
          </w:rPr>
          <w:t>dati par aglomerāciju radīto piesārņojuma slodzi</w:t>
        </w:r>
      </w:hyperlink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7F96"/>
    <w:multiLevelType w:val="hybridMultilevel"/>
    <w:tmpl w:val="FFE205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80339"/>
    <w:multiLevelType w:val="hybridMultilevel"/>
    <w:tmpl w:val="94B20A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4139D"/>
    <w:multiLevelType w:val="hybridMultilevel"/>
    <w:tmpl w:val="3C06186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693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971941">
    <w:abstractNumId w:val="2"/>
  </w:num>
  <w:num w:numId="3" w16cid:durableId="1604193778">
    <w:abstractNumId w:val="1"/>
  </w:num>
  <w:num w:numId="4" w16cid:durableId="25725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0"/>
    <w:rsid w:val="00007AEB"/>
    <w:rsid w:val="00016D18"/>
    <w:rsid w:val="00025EA1"/>
    <w:rsid w:val="0004102D"/>
    <w:rsid w:val="000445F8"/>
    <w:rsid w:val="00055C54"/>
    <w:rsid w:val="000603BA"/>
    <w:rsid w:val="00063F56"/>
    <w:rsid w:val="00086E00"/>
    <w:rsid w:val="000C5F64"/>
    <w:rsid w:val="000D2C0A"/>
    <w:rsid w:val="000D324B"/>
    <w:rsid w:val="000E6B53"/>
    <w:rsid w:val="000F2A0B"/>
    <w:rsid w:val="00116E72"/>
    <w:rsid w:val="00147372"/>
    <w:rsid w:val="001535A8"/>
    <w:rsid w:val="001565F4"/>
    <w:rsid w:val="001577FE"/>
    <w:rsid w:val="00162CA2"/>
    <w:rsid w:val="001D742B"/>
    <w:rsid w:val="002112DB"/>
    <w:rsid w:val="00211B4D"/>
    <w:rsid w:val="00213B4C"/>
    <w:rsid w:val="002278B0"/>
    <w:rsid w:val="00247C75"/>
    <w:rsid w:val="00252D53"/>
    <w:rsid w:val="002530CA"/>
    <w:rsid w:val="00260E3A"/>
    <w:rsid w:val="00265D18"/>
    <w:rsid w:val="00285957"/>
    <w:rsid w:val="0029491D"/>
    <w:rsid w:val="002B66B5"/>
    <w:rsid w:val="002E2A9B"/>
    <w:rsid w:val="002F749E"/>
    <w:rsid w:val="00320EBA"/>
    <w:rsid w:val="00337EEB"/>
    <w:rsid w:val="00360496"/>
    <w:rsid w:val="00367743"/>
    <w:rsid w:val="0037133B"/>
    <w:rsid w:val="00380681"/>
    <w:rsid w:val="00395BC5"/>
    <w:rsid w:val="003A09F6"/>
    <w:rsid w:val="003C337C"/>
    <w:rsid w:val="003C6C8A"/>
    <w:rsid w:val="003D086F"/>
    <w:rsid w:val="003F6EC3"/>
    <w:rsid w:val="003F72C1"/>
    <w:rsid w:val="004264C2"/>
    <w:rsid w:val="00435B50"/>
    <w:rsid w:val="00464B7A"/>
    <w:rsid w:val="00486638"/>
    <w:rsid w:val="004A3B9F"/>
    <w:rsid w:val="004C1BDA"/>
    <w:rsid w:val="004D38D0"/>
    <w:rsid w:val="004D49BD"/>
    <w:rsid w:val="004E699C"/>
    <w:rsid w:val="005041BB"/>
    <w:rsid w:val="0051294F"/>
    <w:rsid w:val="00523E74"/>
    <w:rsid w:val="00526998"/>
    <w:rsid w:val="005319DC"/>
    <w:rsid w:val="005957E8"/>
    <w:rsid w:val="005B4D9C"/>
    <w:rsid w:val="005C4E72"/>
    <w:rsid w:val="005D7643"/>
    <w:rsid w:val="005E1EB0"/>
    <w:rsid w:val="005E7004"/>
    <w:rsid w:val="00640832"/>
    <w:rsid w:val="006423F2"/>
    <w:rsid w:val="00647CB8"/>
    <w:rsid w:val="006557F2"/>
    <w:rsid w:val="00661A20"/>
    <w:rsid w:val="00666438"/>
    <w:rsid w:val="0067119F"/>
    <w:rsid w:val="00680A64"/>
    <w:rsid w:val="006917B5"/>
    <w:rsid w:val="006C4363"/>
    <w:rsid w:val="006D242A"/>
    <w:rsid w:val="006D55E4"/>
    <w:rsid w:val="006F34C3"/>
    <w:rsid w:val="007306FE"/>
    <w:rsid w:val="007E27A3"/>
    <w:rsid w:val="0080359B"/>
    <w:rsid w:val="00835A28"/>
    <w:rsid w:val="00835CBA"/>
    <w:rsid w:val="008971F6"/>
    <w:rsid w:val="008A5213"/>
    <w:rsid w:val="008B4F50"/>
    <w:rsid w:val="008C6223"/>
    <w:rsid w:val="008C762F"/>
    <w:rsid w:val="008D6C83"/>
    <w:rsid w:val="008F7B29"/>
    <w:rsid w:val="00912097"/>
    <w:rsid w:val="00960B79"/>
    <w:rsid w:val="00976690"/>
    <w:rsid w:val="009769B6"/>
    <w:rsid w:val="00995D04"/>
    <w:rsid w:val="009A2C20"/>
    <w:rsid w:val="009D02BC"/>
    <w:rsid w:val="009E7F47"/>
    <w:rsid w:val="009F23A1"/>
    <w:rsid w:val="009F311E"/>
    <w:rsid w:val="00A152EC"/>
    <w:rsid w:val="00A20FE7"/>
    <w:rsid w:val="00A5126A"/>
    <w:rsid w:val="00AA097D"/>
    <w:rsid w:val="00AA194F"/>
    <w:rsid w:val="00AB0A49"/>
    <w:rsid w:val="00AC34D5"/>
    <w:rsid w:val="00AC4204"/>
    <w:rsid w:val="00AE2D44"/>
    <w:rsid w:val="00B51A80"/>
    <w:rsid w:val="00B90DA5"/>
    <w:rsid w:val="00BA20EF"/>
    <w:rsid w:val="00BA7BAF"/>
    <w:rsid w:val="00BC4C09"/>
    <w:rsid w:val="00BD1003"/>
    <w:rsid w:val="00BE471D"/>
    <w:rsid w:val="00C026FF"/>
    <w:rsid w:val="00C403F6"/>
    <w:rsid w:val="00C40C91"/>
    <w:rsid w:val="00C57CD3"/>
    <w:rsid w:val="00C77309"/>
    <w:rsid w:val="00CA6E7F"/>
    <w:rsid w:val="00CA78C4"/>
    <w:rsid w:val="00CB4BBE"/>
    <w:rsid w:val="00CE3539"/>
    <w:rsid w:val="00CF78EF"/>
    <w:rsid w:val="00D11AFA"/>
    <w:rsid w:val="00D45145"/>
    <w:rsid w:val="00D86ED4"/>
    <w:rsid w:val="00D90DE7"/>
    <w:rsid w:val="00DA428C"/>
    <w:rsid w:val="00DC113B"/>
    <w:rsid w:val="00DD7EC5"/>
    <w:rsid w:val="00E150A5"/>
    <w:rsid w:val="00E31207"/>
    <w:rsid w:val="00E86C54"/>
    <w:rsid w:val="00EB012A"/>
    <w:rsid w:val="00EB2447"/>
    <w:rsid w:val="00EB4ED6"/>
    <w:rsid w:val="00ED0B36"/>
    <w:rsid w:val="00EF699B"/>
    <w:rsid w:val="00F03E75"/>
    <w:rsid w:val="00F05DF7"/>
    <w:rsid w:val="00F17762"/>
    <w:rsid w:val="00F42AB0"/>
    <w:rsid w:val="00F66321"/>
    <w:rsid w:val="00F66DDE"/>
    <w:rsid w:val="00F70B6C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8EFC"/>
  <w15:chartTrackingRefBased/>
  <w15:docId w15:val="{EB75DCAB-B3EC-4220-AF8F-582F5959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8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8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8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2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7A3"/>
  </w:style>
  <w:style w:type="paragraph" w:styleId="Footer">
    <w:name w:val="footer"/>
    <w:basedOn w:val="Normal"/>
    <w:link w:val="FooterChar"/>
    <w:uiPriority w:val="99"/>
    <w:unhideWhenUsed/>
    <w:rsid w:val="007E2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7A3"/>
  </w:style>
  <w:style w:type="paragraph" w:styleId="Revision">
    <w:name w:val="Revision"/>
    <w:hidden/>
    <w:uiPriority w:val="99"/>
    <w:semiHidden/>
    <w:rsid w:val="009766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699B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9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portals.mk.gov.lv/legal_acts/9d7dcaec-7d33-4b42-9249-8f6021025a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apportals.mk.gov.lv/legal_acts/7a94b042-d5a3-4f4a-8fe7-989bed0357f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pportals.mk.gov.lv/legal_acts/97ae27ee-ca70-48a5-9606-a3034b90cc3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aram.gov.lv/sites/varam/files/media_file/dati-par-aglomeraciju-radito-piesarnojuma-slodz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65C0-8DB0-4018-A8FA-BFE37A7AF0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4566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Pukse</dc:creator>
  <cp:keywords/>
  <dc:description/>
  <cp:lastModifiedBy>Inga Lapsa</cp:lastModifiedBy>
  <cp:revision>98</cp:revision>
  <dcterms:created xsi:type="dcterms:W3CDTF">2025-01-22T12:43:00Z</dcterms:created>
  <dcterms:modified xsi:type="dcterms:W3CDTF">2025-04-25T08:23:00Z</dcterms:modified>
</cp:coreProperties>
</file>