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1. Tiesību akta projekta izstrādes nepieciešamība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Anotācijas (ex-ante)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"Eiropas Savienības kohēzijas politikas programmas 2021. – 2027. gadam 2.2.2. specifiskā atbalsta mērķa “Pārejas uz aprites ekonomiku veicināšana” 2.2.2.2. pasākuma “Atkritumu dalītā vākšana” projektu iesniegumu pirmās atlases kārtas īstenošanas noteikumi" sākotnējās ietekmes (ex-ante) novērtējuma ziņojums (anotācija)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1.1. Pamatojums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Izstrādes 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Ministrijas / iestādes iniciatīva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veicinātu ilgtspējīgas investīcijas atkritumu apsaimniekošanas jomā, atbalstot atkritumu dalītās vākšanas sistēmu izveidi Latvijā, Vides aizsardzības un reģionālās attīstības ministrija (turpmāk - VARAM) ir izstrādājusi Ministru kabineta (turpmāk - MK) noteikumus par Eiropas Savienības kohēzijas politikas programmas 2021. – 2027. gadam specifiskā atbalsta mērķa 2.2.2.  “Pārejas uz aprites ekonomikas veicināšana” (turpmāk – SAM 2.2.2.) 2.2.2.2. pasākuma “Atkritumu dalītā vākšana” (turpmāk - Pasākums) projektu iesniegumu atlases pirmās kārtas īstenošanas nosacījumiem (turpmāk - MK 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1.2. Mērķis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Mērķa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mērķis ir izstrādāt Pasākuma pirmās projektu iesniegumu atlases kārtas īstenošanas nosacījumus, lai tādējādi varētu tikt atbalstīta atkritumu dalītās vākšanas sistēmu izveide.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Spēkā stāšanās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Vispārējā kārtība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1.3. Pašreizējā situācija, 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Pašreizējā situācija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Pārdomāta un ilgtspējīga resursu apsaimniekošana ir solis virzībā ne tikai uz vides kvalitātes uzlabošanu, bet arī klimata pārmaiņu mazināšanu. Aprites ekonomikas politika ir viens no instrumentiem, lai nodrošinātu progresu un rīcību Apvienoto Nāciju Organizācijas Ilgtspējīgas attīstības mērķu programmas un Parīzes nolīguma īstenošanā. Aprites ekonomika spēj nodrošināt tādus labumus kā darbavietu radīšana, ekonomiskā izaugsme, vides piesārņojuma samazināšana un dabas aizsardzība. Atkritumu dalīta vākšana, kas veicina atkritumu pārstrādi, jo rada priekšnosacījumus kvalitatīvākām  un tīrākām pārstrādes izejvielām. Ievērojot atkritumu apsaimniekošanas hierarhijas noteiktās prioritātes un jo sevišķi secībā, kas ir videi labākā iespēja, vienlaikus ņemot vērā tehniskās iespējas un ekonomisko lietderību, atkritumu dalīta vākšana ir viena no augstākajām prioritātēm, kas seko pasākumiem, lai izvairītos no atkritumu radīšanas un ir uzskatāma par efektīvu resursu izmantošanu.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Neskatoties jau uz veiktajiem ieguldījumiem un normatīvās bāzes attīstību, Latvijā joprojām nav pienācīgi attīstīta atkritumu dalītās vākšanas sistēma un tās trūkumi raksturoti Agrīnās brīdināšanas ziņojumā par Latviju, ko EK laidusi klajā 2023.gada 8.jūnijā (https://eur-lex.europa.eu/legal-content/LV/TXT/?uri=SWD%3A2023%3A187%3AFIN#), kā trūkumi norādīti iedzīvotāju izpratnes veicināšanas pasākumu, izvairīšanās no atkritumu radīšanas, atkritumu dalītās vākšanas sistēmu nepilnības un nepietiekamā attīstība. Attiecībā uz atkritumu dalīto vākšanu ir minēts: Jāuzlabo sniegums atkritumu dalītajai vākšanai (ieskaitot bioloģiskos atkritumus) jomā, jo lielai daļai iedzīvotāju nav piekļuves viegli pieejamiem atkritumu vākšanas pakalpojumiem. Lai nodrošinātu pārstrādājamo atkritumu augstu vākšanas rādītāju, Latvijai būtu jāveicina dažādu vākšanas režīmu kombinēšana ar dažādām vākšanas vietām un dažādām atkritumu plūsmām, ņemot vērā gan mājokļu veidus, gan to saistītās problēmas, piemēram, lielas daudzdzīvokļu ēkas, kur ir ierobežota vieta atkritumu glabāšanai. Tāpat ir uzsvērta arī mājkompostēšnas nozīme, kas ne tikai ļauj atdalīt bioloģiskos atkritumus to rašanās vietās, bet arī nodrošina to pārstrādi, tādējādi akcentējot tuvuma un pašpietiekamības principa iespējas pat vienas mājsaimniecības robežās: Ir vajadzīgi konkrēti plāni un darbības, piemēram, atbalsts kompostēšanai mājsaimniecībās un bioloģisko atkritumu apstrādes jaudas kāpināšana, lai pilnībā pārstrādātu radītos bioloģiskos atkritumus.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Līdzīgi Eiropas Komisijas dienestu dokuments “Vides politikas īstenošanas 2022. gada pārskats. Ziņojums par Latviju” (2022. gada 8. septembris, SWD(2022) 276 final) par 2022. gada prioritāro darbību aprites ekonomikas jomā izvirzīja pieņemt pasākumus, lai uzlabotu apritīgi izmantotu materiālu īpatsvaru.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2020. gadā SIA “Geo Consultants” veiktais pētījums “Investīciju vajadzību izvērtējums Atkritumu apsaimniekošanas valsts plāna 2021. – 2028. gadam izstrādei” uzrāda, ka esošo pārstrādes jaudu nodrošinājums ir pietiekams tikai koka, koka iepakojuma un plastmasas atkritumu pārstrādei. Secinājums par jaudu pietiekamību izdarīts, balstoties uz pieņēmumu, ja tajā tiek pārstrādāti tikai Latvijā radītie attiecīgie atkritumu veidi. Kā norādīts pētījumā, atkritumos esošu materiālu sekmīgas pārstrādes priekšnoteikums ir ne tikai pārstrādes jaudu pieejamība, bet arī atbilstoša atkritumu savākšanas sistēma – lai sagatavotu kvalitatīvu un pārstrādei derīgu materiālu, obligāts priekšnoteikums ir dalītās vākšanas sistēmas attīstība. Tam arī plānots Kohēzijas fonda atbalsts specifiskā atbalsta mērķa 2.2.2. "Pārejas uz aprites ekonomikas veicināšana ietvarā", atbalstot plaša spektra dalītās vākšanas konteineru iegādi.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Atkritumu apsaimniekošanas valsts plāns 2021. – 2028. gadam iezīmē investīciju vajadzību atkritumu dalītās vākšanas sistēmu attīstībai gan paplašinot pakalpojuma pārklājumu jau savācamajiem atkritumu veidiem, gan nosakot jaunus veidus, kam nepieciešama dalīta vākšana, piemēram, bioloģiskie atkritumi, tekstila atkritumi, lielgabarīta atkritumi u.c. Savukārt Rīcības plānā pārejai uz aprites ekonomiku 2020.-2027. gadam ir akcentēti jautājumi saistībā ar otrreizējām izejvielām, kam aprites ekonomikā jāaizvieto primārie resursi. Pasākuma pirmā projektu iesniegumu atlases kārta dos ieguldījumu šīs problēmas risināšanā.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izstrādāti nosacījumi par Pasākuma īstenošanu, kas paredzētu Kohēzijas fonda finansējuma atbalstu darbību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pirmās atlases kārtas ietvaros atbalstu attiecināmo darbību izmaksu segšanai sniedz saskaņā ar 2013.gada 18.decembra Komisijas regulu Nr.1407/2013 par Līguma par ES darbību 107. un 108.panta piemērošanu de minimis atbalstam (ES Oficiālais Vēstnesis, 2013. gada 24. decembris, Nr. L 352) (turpmāk – regula Nr. 1407/2013) un normatīvajiem aktiem par de minimis atbalsta uzskaites un piešķiršanas kārtību.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De minimis atbalstu komersantam piešķir, ievērojot šādus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de minimis atbalsts triju fiskālo gadu periodā nepārsniedz 200 000 euro vienam vienotam uzņēmumam;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de minimis atbalstu piešķir, ievērojot regulas Nr. 1407/2013 1. panta 1. punktā minētos nozaru un darbības ierobežojumus. Ja komersants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de minimis atbalsta, ko piešķir saskaņā ar šo regulu;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pirms de minimis atbalsta piešķiršanas pārbauda, vai komersantam minētais atbalsts attiecīgajā fiskālajā gadā, kā arī iepriekšējos divos fiskālajos gados nepalielina saņemtā de minimis atbalsta kopējo apmēru līdz līmenim, kas pārsniedz 200 000 euro. Izvērtējot finanšu atbalsta apmēru, jāvērtē saņemtais de minimis atbalsts viena vienota uzņēmuma līmenī. Viens vienots uzņēmums ir tāds uzņēmums, kas atbilst regulas Nr. 1407/2013 2. panta 2. punktā minētajiem kritērijiem.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pirmās atlases kārtas ietvaros nav paredzēta elastības finansējuma izmantošana, jo tas pārcelts uz 2.2.2.3. pasākuma "Notekūdeņu dūņu pārstrāde" otro atlases kārtu, ko pilnā apmērā plānots finansēt no elastības finansējuma.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Obligāti ir īstenojami papildu sabiedrības informēšanas un vides apziņas celšanas pasākumi, kas jāīsteno projekta īstenošanas laikā. Izmaksas par tiem (tāpat kā par obligāto ES fondu publicitāti) ir sedzamas, izmantojot de minimis atbalstu. Šīs izmaksas pilnā apmērā (100%) sedz, piemērojot de minimis atbalstu vai privāto līdzfinansējumu.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pirmajai projektu iesniegumu atlases kārtai piemēroti tādi iznākuma un rezultāta rādītāji, kādi tie paredzēti Pasākumam Eiropas Savienības kohēzijas politikas programmā 2021. - 2027. gadam (turpmāk - Programma). Specifiskā atbalsta mērķa 2.2.2. “Pārejas uz aprites ekonomikas veicināšana” līmenī noteiktie rādītāji, kas attiecināmi uz Pasākumu un to dalījums pa pasākumiem un kārtām ir šāds: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iznākuma rādītājs – atbalstītie uzņēmumi (tai skaitā mazi, vidēji un lieli uzņēmumi). Iznākuma rādītāja vērtība tiek sasniegta, ja atlases kārtas projektu ietvaros veikti ieguldījumi atkritumu dalītās vākšanas sistēmu izveidē, nodrošinot atbalstu vismaz 4 uzņēmumiem;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rezultāta rādītājs pasākuma līmenī “Šķiroti savākti atkritumi 9500 t/gadā” no kopējā rezultāta rādītāja RCR 103 ”Šķiroti savākti atkritumi 10 000 t/gadā”, kur summētas vērtības no pasākuma 2.2.2.1. “Atkritumu šķirošana, pārstrāde un reģenerācija” 2.kārtas un pasākuma  2.2.2.2. “Atkritumu dalītā vākšana” abām kārtām. Pasākuma 1.atlases kārtā sasniedzamais rezultāta rādītājs ir “šķiroti savākti atkritumi 4750 tonnas gadā”.   Pasākuma 2. atlases kārtā  sasniedzamais rezultāta rādītājs ir “šķiroti savākti atkritumi 4750 tonnas gadā”.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Iznākuma rādītājs par šķiroti savāktiem atkritumiem tiek sasniegts, kas projekta saņēmējs ir iegādājies un uzstādījis atkritumu dalītās vākšanas konteinerus. Pēcuzraudzības periodā faktu par atkritumu dalītās vākšanas pakalpojuma pieejamību apstiprina finansējuma saņēmēja iesniegta atskaite par konteineros dalīti savākto atkritumu daudzuma pieaugumu salīdzinājumā ar situāciju pirms projekta un to nodošanu sadzīves, ražošanas, būvniecības vai bīstamo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12.2.punktam.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pirmās atlases kārtas īstenošanai paredzēts Kohēzijas fonda atbalsts 2 000 000 euro, līdzfinansējot projektus ar privāto līdzfinansējumu. Kā iepriekš jau norādīts, projektos neatkarīgi no uzņēmuma lieluma (mazs, vidējs, liels) ir noteikta  maksimālā Kohēzijas fonda atbalsta likme, Projektam nav jāpievieno izmaksu un ieguvumu analīze. Pasākuma atlases 1.kārtas projektos ir plānota atkritumu dalītās vākšanas konteineru iegāde, kas atbilst “Metodikas dažāda veida atkritumu dalītās savākšanas specializēto konteineru vienas vienības noteikšanai  dalītās vākšanas pakalpojuma nodrošināšanai” 1.pielikumā (interneta links) noteiktajiem  konteineru veidiem.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projektu iesniegumu pirmajai atlases kārtai ir tieša ietekme uz Eiropas Savienības stratēģiju Baltijas jūras reģionam, jo paredzētās darbības veicina stratēģiskā mērķa “Glābt jūru” sasniegšanu.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sasniegto rezultātu un rādītāju ilgtspēja un uzturēšana nodrošināma no finansējuma saņēmēja līdzekļiem.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Projektam noteikti horizontālā principu (turpmāk - HP)  "Nenodarīt būtisku kaitējumu" kritēriji, darbības un ietekme.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HP "Nenodarīt būtisku kaitējumu" Pasākuma pirmajai atlases kārtai noteikta tieša ietekme, līdz ar to noteikta virkne nosacījumu šī HP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paredzēts, ka vismaz 60% dalīti vākto sadzīves atkritumu tiek rasts turpmāks pielietojums un  to pārstrādes produkti un materiāli tiks atgriezti saimnieciskā apritē;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paredzēts, ka tiek nodrošināta dalīti vācamo sadzīves bīstamo atkritumu, videi kaitīgo preču un bīstamo atkritumu pilnīga nodalīšana no sadzīves atkritumu plūsmas un 30% to procentiem tiek nodrošināts tālāks pielietojums;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paredzēts, ka tiek nodrošināta mājkompostēšana ar secīgu komposta izmantošanu augsnes bagātināšanai.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izvērtēti alternatīvie risinājumi?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izvērtēts piemērot citu komercdarbības atbalsta regulējumu – Eiropas Komisijas Reģionālā valsts atbalsta pamatnostādnes (2021/C 153/01). Tomēr no ieviešanas mehānisma skatupunkta pamatnostādnes ir ar lielāku administratīvo slogu gan atbalsta regulējuma plānošanas, gan sniegšanas fāzē.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izvērtēts prasību un izmaksu samērīgums pret ieguvumiem?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pirmajai atlases kārtai iepirkumu organizēšanai ir noteikta vienas vienības izmaksu metodika vienkāršoto izmaksu piemērošanai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1.4. Izvērtējumi/pētījumi, kas pamato TA nepieciešamību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1.5. Pēcpārbaudes (ex-post) izvērtējums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tiks veikts?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1.6.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2. Tiesību akta projekta ietekmējamās sabiedrības grupas, ietekme uz tautsaimniecības attīstību un administratīvo slogu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2.1. Sabiedrības grupas, kuras tiesiskais regulējums ietekmē, vai varētu ietekmēt</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Fiziskās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Juridiskās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mazie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vidējie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lielie uzņēmumi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ietekmē atsevišķu nozari – atkritumu apsaimniekošanu, veicinot labvēlīgus apstākļus atkritumu dalītās vākšanas sistēmu izveidei, kas ļautu tuvināties ES noteikto mērķu virzienā un veicinātu resursefektivitāti. Atklāta projektu iesniegumu atlase veicina publiskā atbalsta pārredzamību, jo to piešķir, pamatojoties uz iepriekš apstiprinātiem projektu iesniegumu vērtēšanas kritērijiem un nosacījumiem, kas iekļauti MK noteikumu projektā. Šo nosacījumu izpildi uzrauga ES fondu vadībā iesaistītās iestādes, veicinot sabiedrības un komersantu uzticību.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Nozare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Ūdens apgāde; notekūdeņu, atkritumu apsaimniekošana un sanācija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Nozaru 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ietekmē atsevišķu nozari – atkritumu apsaimniekošanu, veicinot labvēlīgus apstākļus atkritumu dalītās vākšanas sistēmu izveidei, kas ļautu tuvināties ES noteikto mērķu virzienā un veicinātu resursefektivitāti. Pasākuma pirmajā atlases kārtā pieejamais Kohēzijas fonda finansējums ir 2 000 000 euro, kas kopā ar komersantu līdzfinansējumu rada nozīmīgu pozitīvu ietekmi uz nozares attīstību.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 Tiesiskā regulējuma ietekme uz tautsaimniecību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2.2.1. uz makroekonomisko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2.2.2. uz nozaru konkurētspēju: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paredz vienlīdzīgus konkurences apstākļus visiem Pasākuma pirmās atlases kārtas dalībniekiem, ievērojot arī īpašu atbalstu mazajiem un vidējiem uzņēmumiem maksimālo atbalsta likmju kontekstā, ko pieļauj 2013.gada 18.decembra Komisijas regula Nr.1407/2013 par Līguma par ES darbību 107. un 108.panta piemērošanu de minimis atbalstam (ES Oficiālais Vēstnesis, 2013. gada 24. decembris, Nr. L 352). Var uzskatīt, ka ieguldījumu atbalsts resursefektivitātei un apritīgumam ir saderīgs ar ES iekšējo tirgu, jo nodrošina godīgu konkurenci iekšējā tirgū un veicina ekonomikas izaugsmi, samazina administratīvo slogu un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2.2.3. uz uzņēmējdarbības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vērsts tikai uz komersantiem, tādā veidā pozitīvi ietekmējot uzņēmējdarbības vidi gan vispārīgi, gan specifiski tieši atkritumu apsaimniekošanas nozarē. Kohēzijas fonda finansējums var veicināt uzņēmējdarbības attīstību, sniedzot ieguldījumus atkritumu apsaimniekošanas tehnoloģijās. Tas stimulē uzņēmumu inovāciju un attīstību, kas var radīt jaunas iespējas un palielināt konkurētspēju.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2.2.4. uz mazajiem un vidējiem uzņēmējiem: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paredz labvēlīgus nosacījumus mazajiem un vidējiem uzņēmumiem, jo tiem saskaņā ar 2013.gada 18.decembra Komisijas regulu Nr.1407/2013 par Līguma par ES darbību 107. un 108.panta piemērošanu </w:t>
      </w:r>
      <w:r w:rsidR="00000000" w:rsidRPr="00000000" w:rsidDel="00000000">
        <w:rPr>
          <w:i w:val="1"/>
          <w:rtl w:val="0"/>
        </w:rPr>
        <w:t xml:space="preserve">de minimis</w:t>
      </w:r>
      <w:r w:rsidR="00000000" w:rsidRPr="00000000" w:rsidDel="00000000">
        <w:rPr>
          <w:rtl w:val="0"/>
        </w:rPr>
        <w:t xml:space="preserve"> atbalstam (ES Oficiālais Vēstnesis, 2013. gada 24. decembris, Nr. L 352) sniegts atbalsts 85%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2.2.5. uz konkurenci: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paredz vienlīdzīgus konkurences apstākļus visiem Pasākuma pirmās atlases kārtas dalībniekiem, ievērojot arī īpašu atbalstu mazajiem un vidējiem uzņēmumiem maksimālo atbalsta likmju kontekstā. Kohēzijas fonda finansējuma apmērs ir ierobežots. 2014. – 2020. gada plānošanas perioda pieredze liecina, ka privātā komercdarbības sektorā vienam atkritumu pārstrādes projektam pieprasītais Kohēzijas fonda finansējuma apmērs ir līdz 2 000 000 euro, tādējādi situācija ar 2013.gada 18.decembra Komisijas regulas Nr.1407/2013 par Līguma par ES darbību 107. un 108.panta piemērošanu </w:t>
      </w:r>
      <w:r w:rsidR="00000000" w:rsidRPr="00000000" w:rsidDel="00000000">
        <w:rPr>
          <w:i w:val="1"/>
          <w:rtl w:val="0"/>
        </w:rPr>
        <w:t xml:space="preserve">de minimis</w:t>
      </w:r>
      <w:r w:rsidR="00000000" w:rsidRPr="00000000" w:rsidDel="00000000">
        <w:rPr>
          <w:rtl w:val="0"/>
        </w:rPr>
        <w:t xml:space="preserve"> atbalstam (ES Oficiālais Vēstnesis, 2013. gada 24. decembris, Nr. L 352) nosacījumu izmantošanu ir uzskatāma par optimālu.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2.2.6. uz nodarbinātību: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Nepieciešamība sniegt atkritumu dalītās vākšanas pakalpojumu un tādējādi atgūt kvalitatīvāku materiālu atkritumu pārstrādei atkarībā no konteineru skaita un izvietošanas teritorijas rada 1- 2 jaunas tiešās darbavietas (tie ir specializēto transportlīdzekļu vadītāji, krāvēji u.c.). Tāpat netieši tiek radīts pieprasījums pēc loģistikas pakalpojumiem, jo nepieciešami transporta pakalpojumi gan uz atkritumu sagatavošanas pārstrādei vietām, gan pārstrādes iekārtām, gan arī pēc pārstrādes jau otrreizējo izejvielu un produktu, kas tiek izmantoti Latvijas tautsaimniecībā un eksportēti uz citām valstīm, transportēšanai.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2.3.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2.4.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3. Tiesību akta projekta ietekme uz valsts budžetu un pašvaldību budžetiem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1205"/>
        <w:gridCol w:w="1205"/>
        <w:gridCol w:w="1205"/>
        <w:gridCol w:w="1205"/>
        <w:gridCol w:w="1205"/>
        <w:gridCol w:w="1205"/>
        <w:gridCol w:w="1205"/>
        <w:gridCol w:w="1205"/>
        <w:tblGridChange w:id="0">
          <w:tblGrid>
            <w:gridCol w:w="1205"/>
            <w:gridCol w:w="1205"/>
            <w:gridCol w:w="1205"/>
            <w:gridCol w:w="1205"/>
            <w:gridCol w:w="1205"/>
            <w:gridCol w:w="1205"/>
            <w:gridCol w:w="1205"/>
            <w:gridCol w:w="1205"/>
          </w:tblGrid>
        </w:tblGridChange>
      </w:tblGrid>
      <w:tr>
        <w:tc>
          <w:tcPr>
            <w:shd w:fill="ffffff"/>
            <w:vAlign w:val="bottom"/>
            <w:noWrap w:val="true"/>
            <w:vMerge w:val="restart"/>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Rādītājs</w:t>
            </w:r>
          </w:p>
        </w:tc>
        <w:tc>
          <w:tcPr>
            <w:shd w:fill="ffffff"/>
            <w:vAlign w:val="center"/>
            <w:noWrap w:val="true"/>
            <w:vMerge w:val="restart"/>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2023</w:t>
            </w:r>
          </w:p>
        </w:tc>
        <w:tc>
          <w:tcPr>
            <w:shd w:fill="ffffff"/>
            <w:vAlign w:val="center"/>
            <w:noWrap w:val="true"/>
            <w:gridSpan w:val="5"/>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Turpmākie trīs gadi (</w:t>
            </w:r>
            <w:r w:rsidR="00000000" w:rsidRPr="00000000" w:rsidDel="00000000">
              <w:rPr>
                <w:sz w:val="24"/>
                <w:b w:val="1"/>
                <w:i w:val="1"/>
                <w:rtl w:val="0"/>
              </w:rPr>
              <w:t xml:space="preserve">euro</w:t>
            </w:r>
            <w:r w:rsidR="00000000" w:rsidRPr="00000000" w:rsidDel="00000000">
              <w:rPr>
                <w:sz w:val="24"/>
                <w:b w:val="1"/>
                <w:rtl w:val="0"/>
              </w:rPr>
              <w:t xml:space="preserve">)</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vMerge w:val="contin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2024</w:t>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2025</w:t>
            </w:r>
          </w:p>
        </w:tc>
        <w:tc>
          <w:tcPr>
            <w:shd w:fill="ffffff"/>
            <w:vAlign w:val="center"/>
            <w:noWrap w:val="true"/>
            <w:gridSpan w:val="1"/>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2026</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kārtējā gadā, salīdzinot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1</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2</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3</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6</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8</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 Budžeta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1 400 000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1.1. valsts pamatbudžets, tai skaitā ieņēmumi no maksas pakalpojumiem un citi pašu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1 400 000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 Budžeta izdevumi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1 400 000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1 400 000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4. Finanšu līdzekļi papildu izdevumu finansēšanai (kompensējošu izdevumu palielinājumu norāda ar "-" zīmi)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 Precizēta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 Detalizēts ieņēmumu un izdevumu aprēķins (ja nepieciešams, detalizētu ieņēmumu un izdevumu aprēķinu var pievienot anotācijas (ex-ante) pielikumā)</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Plānotais valsts budžets kārtējam gadam un vidēja termiņa budžeta finansējums norādīts saskaņā ar VARAM 2023. gada 23. janvārī sagatavotajām budžeta izdevuma prognozēm ES fondu 2021. - 2027. gada plānošanas periodā (indikatīvi), kas paredz: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2024.gadā atmaksas 600 000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 gadā atmaksas 1400 000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Finansējuma saņēmējs projektu īsteno un priekšfinansē no privātiem līdzekļiem, un sadarbības iestāde, balstoties uz civiltiesisko līgumu par projekta īstenošanu, pēc finansējuma saņēmēja iesniegtā projekta noslēguma maksājuma pieprasījuma izvērtēšanas veic pasākuma  budžeta finansējuma (Kohēzijas fonda) izmaksu vienā noslēguma maksājumā.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2023. gadā budžeta izdevumi nav plānoti, lielākie ieguldījumi plānoti 2024. un 2025.gadā,  jo projektu īstenošana paredzēta 12 mēnešu laikā no civiltiesiskā līguma par projekta īstenošanu noslēgšanas dienas, bet ne ilgāk kā līdz 2025.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Investīcijas plānotas zem šādiem intervences kodiem: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67 - sadzīves atkritumu apsaimniekošana: rašanās novēršanas, apjoma samazināšanas, šķirošanas, atkārtotas izmantošanas, reciklēšanas pasākumi – KF 1 800 000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69 - komerciālo, rūpniecisko atkritumu apsaimniekošana: rašanās novēršanas, apjoma samazināšanas, šķirošanas, atkārtotas izmantošanas, reciklēšanas pasākumi – KF 200 000 euro.</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6.1. detalizēts ieņēmumu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Ieņēmumi plānoti kā Kohēzijas fonda finansējuma daļa</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6.2. detalizēts izdevumu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Izdevumi plānoti kā Kohēzijas fonda finansējuma daļa</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7. Amata vietu skaita izmaiņas (palielinājuma gadījumā: izvērsts pamatojums, izvērtējums par esošo resursu pārskatīšanas iespējām, t.sk. vakanto štata vietu, ilgstošo vakanču izmantošanu u.c.)</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neietekmē amata vietu skaita izmaiņas</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saņēmējs nesaņem avansu projekta realizācijai, to finansē no saviem līdzekļiem. Avanss nav nepieciešams, jo vismaz projekta kopējās izmaksas veido atkritumu dalītās vākšanas konteineru, ko iepērk atbilstoši noteiktajai vienas vienības izmaksu metodikai vienkāršoto izmaksu piemērošanai, un projekta informācijas un publicitātes pasākumu izmaksas.</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4. Tiesību akta projekta ietekme uz spēkā esošo tiesību normu sistēmu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4.2.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5. Tiesību akta projekta atbilstība Latvijas Republikas starptautiskajām saistībām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5.1. Saistības pret Eiropas Savienību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CELEX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32013R1407</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datums, izdevējinstitūcija, numurs, veids un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2013.gada 18.decembra Komisijas regula Nr.1407/2013 par Līguma par ES darbību 107. un 108.panta piemērošanu de minimis atbalstam (ES Oficiālais Vēstnesis, 2013. gada 24. decembris, Nr. L 352)</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Tiks aizpildīts, nododot projektu starpinstitūciju saskaņošanā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5.2. Citas starptautiskās saistības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5.3.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5.4. 1. tabula. Tiesību akta projekta atbilstība ES tiesību aktiem</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2410"/>
        <w:gridCol w:w="2410"/>
        <w:gridCol w:w="2410"/>
        <w:gridCol w:w="2410"/>
        <w:tblGridChange w:id="0">
          <w:tblGrid>
            <w:gridCol w:w="2410"/>
            <w:gridCol w:w="2410"/>
            <w:gridCol w:w="2410"/>
            <w:gridCol w:w="241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Attiecīgā ES tiesību akta datums, izdevējinstitūcija, numurs, veids un nosaukums</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2013.gada 18.decembra Komisijas regula Nr.1407/2013 par Līguma par ES darbību 107. un 108.panta piemērošanu de minimis atbalstam (ES Oficiālais Vēstnesis, 2013. gada 24. decembris, Nr. L 352)</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ES TA panta numurs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Projekta vienība, kas pārņem vai ievieš A minēto</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Tiek pārņemts pilnībā vai daļēji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Vai B minētais paredz stingrākas prasības un pamatojums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B</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C</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D</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Kā ir izmantota ES tiesību aktā paredzētā rīcības brīvība dalībvalstij pārņemt vai ieviest noteiktas ES tiesību akta normas? Kādēļ?</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Cita informācija</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6. Projekta izstrādē iesaistītās institūcijas un sabiedrības līdzdalības process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Sabiedrības līdzdalība uz šo tiesību akta projektu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Skaidrojums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6.4.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pasākuma projektu iesniegumu vērtēšanas kritēriji tiks apstiprināti Eiropas Savienības fondu 2021. - 2027. gada plānošanas perioda Uzraudzības komitejā, kuras sastāvā ir iekļauti arī sadarbības, sociālie, nevalstiskā sektora un reģionālie partneri.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projektu izstrādā VARAM, tas tiks saskaņots ar Finanšu ministriju, Tieslietu ministriju, Labklājības ministriju, Klimata un enerģētikas ministriju un citām institūcijām (ja nepieciešams) atbilstoši MK 2021. gada 7. septembra noteikumos Nr.606 “Ministru kabineta kārtības rullis” noteiktajai kārtībai. Plānota MK noteikumu projekta un projektu iesniegumu vērtēšanas kritēriju prezentācija Latvijas Atkritumu saimniecības uzņēmumu asociācijai, kas aptver ~90% no kopējā Latvijas tirgus apjoma, tādējādi nodrošinot nozares nevalstiskā sektora jēgpilnu iesaisti.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Īstenojot projektu, finansējuma saņēmējam jānodrošina informācijas un publicitātes pasākumi, kas noteikti Komisijas regulā Nr. 2021/1060 un normatīvajos aktos par Eiropas Savienības fondu publicitātes un vizuālās identitātes prasību nodrošināšanu, tādējādi sniedzot informāciju sabiedrībai par projekta mērķi, veiktajiem ieguldījumiem u.c.</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7. Tiesību akta projekta izpildes nodrošināšana un tās ietekme uz institūcijām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7.1. Projekta izpildē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Centrālā finanšu un līgumu aģentūra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7.2.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7.3.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7.4. Projekta izpildes ietekme uz pārvaldes funkcijām un institucionālo struktūru</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371"/>
        <w:gridCol w:w="900"/>
        <w:gridCol w:w="4371"/>
        <w:tblGridChange w:id="0">
          <w:tblGrid>
            <w:gridCol w:w="4371"/>
            <w:gridCol w:w="900"/>
            <w:gridCol w:w="437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Jā/Nē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Skaidrojums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1. Tiks veidota jauna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2. Tiks likvidēta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3. Tiks veikta esošās institūcijas reorganizācija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4. Institūcijas funkcijas un uzdevumi tiks mainīti (paplašināti vai sašaurināti)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5. Tiks veikta iekšējo institūcijas procesu efektivizācija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6. Tiks veikta iekšējo institūcijas procesu digitalizācija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7. Tiks veikta iekšējo institūcijas procesu optimizācija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8. Cita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7.5.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Vērtējot projektu īstenošanas ietekmi uz administratīvajām procedūrām un to izmaksām, nav identificēts administratīvā sloga palielinājums potenciālajiem finansējuma saņēmējiem. Iesaistītajās institūcijas darbosies tām noteikto štata vietu robežās, jaunas patstāvīgas štata vietas netiks izveidotas.</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8. Horizontālās ietekmes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 Projekta tiesiskā regulējuma ietekme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 uz publisku pakalpojumu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8.1.2. uz valsts un pašvaldību informācijas un komunikācijas tehnoloģiju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8.1.3. uz informācijas sabiedrības politikas īstenošanu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8.1.4. uz Nacionālā attīstības plāna rādītājiem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darbības tieši ietekmē Nacionālā attīstības plāna rādītāju Nr.275 “Sadzīves atkritumu pārstrādes līmenis”, jo paredzēts, ka daļa projektu aptvers tieši sadzīves atkritumu pārstrādes veicināšanu, rodot iespēju sagatavot vairāk kvalitatīvu otrreizējo izejvielu un materiālu.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8.1.5. uz teritoriju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Projektiem izvirzīta prasība attīstīt dalīto atkritumu vākšanu atbilstoši pašvaldības saistošajiem noteikumiem par atkritumu apsaimniekošanu, kuros tiek ņemtas vērā pašvaldības attīstības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8.1.6. uz vidi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tiešā veidā ietekmē vides prasības, ko nodrošina gan prasība attīstīt atkritumu apsaimniekošanas darbību – atkritumu dalīto vākšanu, kas uzskatāma par prioritāru, jo vienlaicīgi samazina radīto atkritumu bīstamību, nodalot atkritumu plūsmas, gan sagatavo atkritumus atkārtotai izmantošanai. Darbība paredzēta atbilstoši pašvaldības saistošajiem noteikumiem par atkritumu apsaimniekošanu.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8.1.7. uz klimatneitralitāti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8.1.8. uz iedzīvotāju sociālo situāciju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8.1.9. uz personu ar invaliditāti vienlīdzīgām iespējām un tiesībām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8.1.10. uz dzimumu līdztiesību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8.1.11. uz veselību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8.1.12. uz cilvēktiesībām, demokrātiskām vērtībām un pilsoniskās sabiedrības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8.1.13. uz datu aizsardzību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8.1.14. uz diasporu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8.1.15. uz profesiju reglamentāciju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8.1.16. uz bērna labākajām interesēm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8.2.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HP "Vienlīdzība, iekļaušana, nediskriminācija un pamattiesību ievērošana" noteikts, ka Pasākuma pirmajai atlases kārtai nav ietekmes uz šo HP (projektu mērķis ir tehniska rakstura, ieguldījumi nav saistīti ar cilvēkresursu attīstību vai publisko būvju un ārtelpas izveidi), kas nozīmē, ka projektā būs jāiekļauj viena vispārīga šī principa darbība, kas attiecas uz publicitāti, personālu vai publiskajiem iepirkumiem.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iekļauts kritērijs “Projektā ir paredzētas darbības,  kas veicina  vienlīdzību, iekļaušanu, nediskrimināciju un pamattiesību ievērošanu” kas paredz tādu darbību piemērus kā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tiks nodrošināts, ka informācija publiskajā telpā, t.sk. tīmeklī, ir piekļūstama cilvēkiem ar funkcionāliem traucējumiem, izmantojot vairākus sensoros (redze, dzirde, tauste) kanālus (skat. VARAM vadlīnijas “Tīmekļvietnes izvērtējums atbilstoši digitālās vides piekļūstamības prasībām (WCAG 2.1 AA)” (https://pieklustamiba.varam.gov.lv / Vadlīnijas piekļūstamības izvērtējumam pieejamas šeit: https://www.varam.gov.lv/lv/wwwvaramgovlv/lv/pieklustamiba);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attiecībā uz HP “Klimatdrošināšana” tiek noteikts kritērijs Projektā tiek nodrošināts, ka atkritumu dalītās vākšanas aprīkojums (konteineri) ir ar markējumu CE, kas nodrošina Eiropas Ekonomikas zonā (EEZ) pārdoto produktu atbilstību veselības, drošības un vides aizsardzības standartiem un RAL kvalitātes zīmei.  </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23-TA-2341</w:t>
    </w:r>
    <w:r>
      <w:br/>
    </w:r>
    <w:r w:rsidR="00000000" w:rsidRPr="00000000" w:rsidDel="00000000">
      <w:rPr>
        <w:rtl w:val="0"/>
      </w:rPr>
      <w:t xml:space="preserve">Izdrukāts 21.09.2023. 11.20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23-TA-2341</w:t>
    </w:r>
    <w:r>
      <w:br/>
    </w:r>
    <w:r w:rsidR="00000000" w:rsidRPr="00000000" w:rsidDel="00000000">
      <w:rPr>
        <w:rtl w:val="0"/>
      </w:rPr>
      <w:t xml:space="preserve">Izdrukāts 21.09.2023. 11.20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oter" Target="footer2.xml"/><Relationship Id="rId7" Type="http://schemas.openxmlformats.org/officeDocument/2006/relationships/header" Target="header1.xml"/><Relationship Id="rId2" Type="http://schemas.openxmlformats.org/officeDocument/2006/relationships/footer" Target="footer1.xml"/><Relationship Id="rId1"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3AEC60C4E504E90DC491E27C910DB" ma:contentTypeVersion="16" ma:contentTypeDescription="Create a new document." ma:contentTypeScope="" ma:versionID="087509a4178735061c741f6a2a02db72">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19248a72de966bb368599f88d6ef7ce3"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E986A4-434C-4EB4-A38B-8B9995875D97}"/>
</file>

<file path=customXml/itemProps2.xml><?xml version="1.0" encoding="utf-8"?>
<ds:datastoreItem xmlns:ds="http://schemas.openxmlformats.org/officeDocument/2006/customXml" ds:itemID="{6034E33D-9D9C-427D-93E7-0A24FE8ECA6A}"/>
</file>

<file path=customXml/itemProps3.xml><?xml version="1.0" encoding="utf-8"?>
<ds:datastoreItem xmlns:ds="http://schemas.openxmlformats.org/officeDocument/2006/customXml" ds:itemID="{5DB1ADB1-1FE3-424C-9235-B09416544312}"/>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anotācija_(ex_ante)_23-TA-2341.docx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