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C3B64" w14:textId="1CA4C8A6" w:rsidR="00137F01" w:rsidRPr="00A57181" w:rsidRDefault="00137F01" w:rsidP="00137F01">
      <w:pPr>
        <w:pStyle w:val="Standard"/>
        <w:jc w:val="center"/>
        <w:rPr>
          <w:b/>
          <w:szCs w:val="24"/>
        </w:rPr>
      </w:pPr>
      <w:r w:rsidRPr="00A57181">
        <w:rPr>
          <w:b/>
          <w:szCs w:val="24"/>
        </w:rPr>
        <w:t xml:space="preserve">Izziņa ar saņemtajiem komentāriem par Eiropas Savienības fondu 2021.–2027.gada plānošanas perioda </w:t>
      </w:r>
    </w:p>
    <w:p w14:paraId="73B12ACC" w14:textId="5AE5A1D0" w:rsidR="00137F01" w:rsidRPr="00A57181" w:rsidRDefault="00422770" w:rsidP="00A57181">
      <w:pPr>
        <w:pStyle w:val="Standard"/>
        <w:jc w:val="center"/>
        <w:rPr>
          <w:b/>
          <w:szCs w:val="24"/>
        </w:rPr>
      </w:pPr>
      <w:sdt>
        <w:sdtPr>
          <w:rPr>
            <w:b/>
            <w:szCs w:val="24"/>
          </w:rPr>
          <w:id w:val="-1016078257"/>
          <w:placeholder>
            <w:docPart w:val="DefaultPlaceholder_-1854013437"/>
          </w:placeholder>
          <w:date w:fullDate="2023-10-26T00:00:00Z">
            <w:dateFormat w:val="dd.MM.yyyy"/>
            <w:lid w:val="lv-LV"/>
            <w:storeMappedDataAs w:val="dateTime"/>
            <w:calendar w:val="gregorian"/>
          </w:date>
        </w:sdtPr>
        <w:sdtEndPr/>
        <w:sdtContent>
          <w:r w:rsidR="00EC150F">
            <w:rPr>
              <w:b/>
              <w:szCs w:val="24"/>
            </w:rPr>
            <w:t>26.10.2023</w:t>
          </w:r>
        </w:sdtContent>
      </w:sdt>
      <w:r w:rsidR="008B4943">
        <w:rPr>
          <w:b/>
          <w:szCs w:val="24"/>
        </w:rPr>
        <w:t xml:space="preserve">. </w:t>
      </w:r>
      <w:r w:rsidR="00137F01" w:rsidRPr="00A57181">
        <w:rPr>
          <w:b/>
          <w:szCs w:val="24"/>
        </w:rPr>
        <w:t xml:space="preserve">apakškomitejas sēdē izskatāmajiem </w:t>
      </w:r>
      <w:bookmarkStart w:id="0" w:name="_Hlk147924730"/>
      <w:r w:rsidR="00213D32" w:rsidRPr="00213D32">
        <w:rPr>
          <w:b/>
          <w:szCs w:val="24"/>
        </w:rPr>
        <w:t xml:space="preserve">Iekšlietu </w:t>
      </w:r>
      <w:r w:rsidR="00A57181" w:rsidRPr="00A57181">
        <w:rPr>
          <w:b/>
          <w:szCs w:val="24"/>
        </w:rPr>
        <w:t xml:space="preserve">ministrijas </w:t>
      </w:r>
      <w:r w:rsidR="00213D32" w:rsidRPr="00213D32">
        <w:rPr>
          <w:b/>
          <w:szCs w:val="24"/>
        </w:rPr>
        <w:t>2.1.3.3.pasākums “Katastrofu risku mazināšanas pasākumi” 3.kārta</w:t>
      </w:r>
      <w:r w:rsidR="00213D32">
        <w:rPr>
          <w:b/>
          <w:szCs w:val="24"/>
        </w:rPr>
        <w:t xml:space="preserve">s </w:t>
      </w:r>
      <w:bookmarkEnd w:id="0"/>
      <w:r w:rsidR="00137F01" w:rsidRPr="00A57181">
        <w:rPr>
          <w:b/>
        </w:rPr>
        <w:t>materiāliem</w:t>
      </w:r>
    </w:p>
    <w:p w14:paraId="6EC3D236" w14:textId="6FC082C0" w:rsidR="00137F01" w:rsidRDefault="00137F01" w:rsidP="00137F01">
      <w:pPr>
        <w:pStyle w:val="Standard"/>
        <w:shd w:val="clear" w:color="auto" w:fill="FFFFFF"/>
        <w:jc w:val="center"/>
        <w:rPr>
          <w:szCs w:val="24"/>
        </w:rPr>
      </w:pPr>
    </w:p>
    <w:tbl>
      <w:tblPr>
        <w:tblStyle w:val="TableGrid"/>
        <w:tblW w:w="0" w:type="auto"/>
        <w:tblLook w:val="04A0" w:firstRow="1" w:lastRow="0" w:firstColumn="1" w:lastColumn="0" w:noHBand="0" w:noVBand="1"/>
      </w:tblPr>
      <w:tblGrid>
        <w:gridCol w:w="555"/>
        <w:gridCol w:w="1980"/>
        <w:gridCol w:w="5148"/>
        <w:gridCol w:w="2563"/>
        <w:gridCol w:w="3702"/>
      </w:tblGrid>
      <w:tr w:rsidR="00A57181" w:rsidRPr="000054D9" w14:paraId="1DC85C06" w14:textId="77777777" w:rsidTr="0037277D">
        <w:tc>
          <w:tcPr>
            <w:tcW w:w="555" w:type="dxa"/>
          </w:tcPr>
          <w:p w14:paraId="4BB141E3" w14:textId="76725B81" w:rsidR="00A57181" w:rsidRPr="000054D9" w:rsidRDefault="00A57181" w:rsidP="00137F01">
            <w:pPr>
              <w:pStyle w:val="Standard"/>
              <w:jc w:val="center"/>
              <w:rPr>
                <w:rFonts w:cs="Times New Roman"/>
                <w:b/>
                <w:bCs/>
                <w:sz w:val="22"/>
              </w:rPr>
            </w:pPr>
            <w:r w:rsidRPr="000054D9">
              <w:rPr>
                <w:rFonts w:cs="Times New Roman"/>
                <w:b/>
                <w:bCs/>
                <w:sz w:val="22"/>
              </w:rPr>
              <w:t>Nr.</w:t>
            </w:r>
          </w:p>
        </w:tc>
        <w:tc>
          <w:tcPr>
            <w:tcW w:w="1980" w:type="dxa"/>
          </w:tcPr>
          <w:p w14:paraId="6A3984BE" w14:textId="1C6C92FE" w:rsidR="00A57181" w:rsidRPr="000054D9" w:rsidRDefault="00A57181" w:rsidP="00137F01">
            <w:pPr>
              <w:pStyle w:val="Standard"/>
              <w:jc w:val="center"/>
              <w:rPr>
                <w:rFonts w:cs="Times New Roman"/>
                <w:b/>
                <w:bCs/>
                <w:sz w:val="22"/>
              </w:rPr>
            </w:pPr>
            <w:r w:rsidRPr="000054D9">
              <w:rPr>
                <w:rFonts w:cs="Times New Roman"/>
                <w:b/>
                <w:bCs/>
                <w:sz w:val="22"/>
              </w:rPr>
              <w:t>Materiālu esošā redakcija</w:t>
            </w:r>
          </w:p>
        </w:tc>
        <w:tc>
          <w:tcPr>
            <w:tcW w:w="5148" w:type="dxa"/>
          </w:tcPr>
          <w:p w14:paraId="3BA660B7" w14:textId="17AF2DD9" w:rsidR="00A57181" w:rsidRPr="000054D9" w:rsidRDefault="00A57181" w:rsidP="00A57181">
            <w:pPr>
              <w:pStyle w:val="Standard"/>
              <w:jc w:val="center"/>
              <w:rPr>
                <w:rFonts w:cs="Times New Roman"/>
                <w:b/>
                <w:bCs/>
                <w:sz w:val="22"/>
              </w:rPr>
            </w:pPr>
            <w:r w:rsidRPr="000054D9">
              <w:rPr>
                <w:rFonts w:cs="Times New Roman"/>
                <w:b/>
                <w:bCs/>
                <w:sz w:val="22"/>
              </w:rPr>
              <w:t>AK dalībnieka komentārs</w:t>
            </w:r>
          </w:p>
        </w:tc>
        <w:tc>
          <w:tcPr>
            <w:tcW w:w="2563" w:type="dxa"/>
          </w:tcPr>
          <w:p w14:paraId="78D91156" w14:textId="52B5B91F" w:rsidR="00A57181" w:rsidRPr="000054D9" w:rsidRDefault="00A57181" w:rsidP="00137F01">
            <w:pPr>
              <w:pStyle w:val="Standard"/>
              <w:jc w:val="center"/>
              <w:rPr>
                <w:rFonts w:cs="Times New Roman"/>
                <w:b/>
                <w:bCs/>
                <w:sz w:val="22"/>
              </w:rPr>
            </w:pPr>
            <w:r w:rsidRPr="000054D9">
              <w:rPr>
                <w:rFonts w:cs="Times New Roman"/>
                <w:b/>
                <w:bCs/>
                <w:sz w:val="22"/>
              </w:rPr>
              <w:t>AI viedoklis</w:t>
            </w:r>
          </w:p>
        </w:tc>
        <w:tc>
          <w:tcPr>
            <w:tcW w:w="3702" w:type="dxa"/>
          </w:tcPr>
          <w:p w14:paraId="3A7B0DAC" w14:textId="0C266D42" w:rsidR="00A57181" w:rsidRPr="000054D9" w:rsidRDefault="00A57181" w:rsidP="00137F01">
            <w:pPr>
              <w:pStyle w:val="Standard"/>
              <w:jc w:val="center"/>
              <w:rPr>
                <w:rFonts w:cs="Times New Roman"/>
                <w:b/>
                <w:bCs/>
                <w:sz w:val="22"/>
              </w:rPr>
            </w:pPr>
            <w:r w:rsidRPr="000054D9">
              <w:rPr>
                <w:rFonts w:cs="Times New Roman"/>
                <w:b/>
                <w:bCs/>
                <w:sz w:val="22"/>
              </w:rPr>
              <w:t>Gala redakcija</w:t>
            </w:r>
          </w:p>
        </w:tc>
      </w:tr>
      <w:tr w:rsidR="00A57181" w:rsidRPr="000054D9" w14:paraId="380416C8" w14:textId="77777777" w:rsidTr="0037277D">
        <w:tc>
          <w:tcPr>
            <w:tcW w:w="555" w:type="dxa"/>
          </w:tcPr>
          <w:p w14:paraId="2A7F122C" w14:textId="77777777" w:rsidR="00A57181" w:rsidRPr="000054D9" w:rsidRDefault="00A57181" w:rsidP="00137F01">
            <w:pPr>
              <w:pStyle w:val="Standard"/>
              <w:jc w:val="center"/>
              <w:rPr>
                <w:rFonts w:cs="Times New Roman"/>
                <w:b/>
                <w:bCs/>
                <w:sz w:val="22"/>
              </w:rPr>
            </w:pPr>
          </w:p>
        </w:tc>
        <w:tc>
          <w:tcPr>
            <w:tcW w:w="1980" w:type="dxa"/>
          </w:tcPr>
          <w:p w14:paraId="67E8DA1B" w14:textId="393A3207" w:rsidR="00A57181" w:rsidRPr="000054D9" w:rsidRDefault="00A57181" w:rsidP="00137F01">
            <w:pPr>
              <w:pStyle w:val="Standard"/>
              <w:jc w:val="center"/>
              <w:rPr>
                <w:rFonts w:cs="Times New Roman"/>
                <w:b/>
                <w:bCs/>
                <w:sz w:val="22"/>
              </w:rPr>
            </w:pPr>
            <w:r w:rsidRPr="000054D9">
              <w:rPr>
                <w:rFonts w:cs="Times New Roman"/>
                <w:b/>
                <w:bCs/>
                <w:sz w:val="22"/>
              </w:rPr>
              <w:t>1</w:t>
            </w:r>
          </w:p>
        </w:tc>
        <w:tc>
          <w:tcPr>
            <w:tcW w:w="5148" w:type="dxa"/>
          </w:tcPr>
          <w:p w14:paraId="6B041985" w14:textId="089E011A" w:rsidR="00A57181" w:rsidRPr="000054D9" w:rsidRDefault="00A57181" w:rsidP="00137F01">
            <w:pPr>
              <w:pStyle w:val="Standard"/>
              <w:jc w:val="center"/>
              <w:rPr>
                <w:rFonts w:cs="Times New Roman"/>
                <w:b/>
                <w:bCs/>
                <w:sz w:val="22"/>
              </w:rPr>
            </w:pPr>
            <w:r w:rsidRPr="000054D9">
              <w:rPr>
                <w:rFonts w:cs="Times New Roman"/>
                <w:b/>
                <w:bCs/>
                <w:sz w:val="22"/>
              </w:rPr>
              <w:t>2</w:t>
            </w:r>
          </w:p>
        </w:tc>
        <w:tc>
          <w:tcPr>
            <w:tcW w:w="2563" w:type="dxa"/>
          </w:tcPr>
          <w:p w14:paraId="1753E9BF" w14:textId="309CEBA8" w:rsidR="00A57181" w:rsidRPr="000054D9" w:rsidRDefault="00A57181" w:rsidP="00137F01">
            <w:pPr>
              <w:pStyle w:val="Standard"/>
              <w:jc w:val="center"/>
              <w:rPr>
                <w:rFonts w:cs="Times New Roman"/>
                <w:b/>
                <w:bCs/>
                <w:sz w:val="22"/>
              </w:rPr>
            </w:pPr>
            <w:r w:rsidRPr="000054D9">
              <w:rPr>
                <w:rFonts w:cs="Times New Roman"/>
                <w:b/>
                <w:bCs/>
                <w:sz w:val="22"/>
              </w:rPr>
              <w:t>3</w:t>
            </w:r>
          </w:p>
        </w:tc>
        <w:tc>
          <w:tcPr>
            <w:tcW w:w="3702" w:type="dxa"/>
          </w:tcPr>
          <w:p w14:paraId="093B038E" w14:textId="0F096221" w:rsidR="00A57181" w:rsidRPr="000054D9" w:rsidRDefault="00A57181" w:rsidP="00137F01">
            <w:pPr>
              <w:pStyle w:val="Standard"/>
              <w:jc w:val="center"/>
              <w:rPr>
                <w:rFonts w:cs="Times New Roman"/>
                <w:b/>
                <w:bCs/>
                <w:sz w:val="22"/>
              </w:rPr>
            </w:pPr>
            <w:r w:rsidRPr="000054D9">
              <w:rPr>
                <w:rFonts w:cs="Times New Roman"/>
                <w:b/>
                <w:bCs/>
                <w:sz w:val="22"/>
              </w:rPr>
              <w:t>3</w:t>
            </w:r>
          </w:p>
        </w:tc>
      </w:tr>
      <w:tr w:rsidR="00A57181" w:rsidRPr="000054D9" w14:paraId="5F51158A" w14:textId="77777777" w:rsidTr="00340749">
        <w:tc>
          <w:tcPr>
            <w:tcW w:w="13948" w:type="dxa"/>
            <w:gridSpan w:val="5"/>
            <w:shd w:val="clear" w:color="auto" w:fill="C5E0B3" w:themeFill="accent6" w:themeFillTint="66"/>
          </w:tcPr>
          <w:p w14:paraId="5E6EE4EC" w14:textId="30665F84" w:rsidR="00A57181" w:rsidRPr="000054D9" w:rsidRDefault="00A57181" w:rsidP="00A57181">
            <w:pPr>
              <w:pStyle w:val="Standard"/>
              <w:jc w:val="both"/>
              <w:rPr>
                <w:rFonts w:cs="Times New Roman"/>
                <w:b/>
                <w:bCs/>
                <w:sz w:val="22"/>
              </w:rPr>
            </w:pPr>
            <w:r w:rsidRPr="000054D9">
              <w:rPr>
                <w:rFonts w:cs="Times New Roman"/>
                <w:b/>
                <w:bCs/>
                <w:sz w:val="22"/>
              </w:rPr>
              <w:t>Par projektu iesniegumu vērtēšanas kritērijiem</w:t>
            </w:r>
          </w:p>
        </w:tc>
      </w:tr>
      <w:tr w:rsidR="00A57181" w:rsidRPr="000054D9" w14:paraId="6D4B6E25" w14:textId="77777777" w:rsidTr="0037277D">
        <w:tc>
          <w:tcPr>
            <w:tcW w:w="555" w:type="dxa"/>
          </w:tcPr>
          <w:p w14:paraId="44B426E0" w14:textId="77777777" w:rsidR="00A57181" w:rsidRPr="000054D9" w:rsidRDefault="00A57181" w:rsidP="00A57181">
            <w:pPr>
              <w:pStyle w:val="Standard"/>
              <w:numPr>
                <w:ilvl w:val="0"/>
                <w:numId w:val="13"/>
              </w:numPr>
              <w:ind w:hanging="1049"/>
              <w:jc w:val="center"/>
              <w:rPr>
                <w:rFonts w:cs="Times New Roman"/>
                <w:b/>
                <w:bCs/>
                <w:sz w:val="22"/>
              </w:rPr>
            </w:pPr>
          </w:p>
        </w:tc>
        <w:tc>
          <w:tcPr>
            <w:tcW w:w="1980" w:type="dxa"/>
          </w:tcPr>
          <w:p w14:paraId="4E442DC0" w14:textId="00B7142C" w:rsidR="00A57181" w:rsidRPr="000054D9" w:rsidRDefault="001E4835" w:rsidP="00340749">
            <w:pPr>
              <w:pStyle w:val="Standard"/>
              <w:jc w:val="both"/>
              <w:rPr>
                <w:rFonts w:cs="Times New Roman"/>
                <w:b/>
                <w:bCs/>
                <w:sz w:val="22"/>
              </w:rPr>
            </w:pPr>
            <w:r>
              <w:rPr>
                <w:rFonts w:cs="Times New Roman"/>
                <w:b/>
                <w:bCs/>
                <w:sz w:val="22"/>
              </w:rPr>
              <w:t>Kritērijs Nr. 2.2.</w:t>
            </w:r>
          </w:p>
        </w:tc>
        <w:tc>
          <w:tcPr>
            <w:tcW w:w="5148" w:type="dxa"/>
          </w:tcPr>
          <w:p w14:paraId="75B64467" w14:textId="77777777" w:rsidR="001E4835" w:rsidRDefault="001E4835" w:rsidP="001E4835">
            <w:pPr>
              <w:pStyle w:val="Standard"/>
              <w:jc w:val="both"/>
              <w:rPr>
                <w:rFonts w:cs="Times New Roman"/>
                <w:b/>
                <w:bCs/>
                <w:sz w:val="22"/>
              </w:rPr>
            </w:pPr>
            <w:r w:rsidRPr="001E4835">
              <w:rPr>
                <w:b/>
                <w:bCs/>
                <w:sz w:val="22"/>
              </w:rPr>
              <w:t>Finanšu ministrija</w:t>
            </w:r>
          </w:p>
          <w:p w14:paraId="658D1925" w14:textId="77777777" w:rsidR="001E4835" w:rsidRDefault="001E4835" w:rsidP="001E4835">
            <w:pPr>
              <w:pStyle w:val="Standard"/>
              <w:jc w:val="both"/>
              <w:rPr>
                <w:sz w:val="22"/>
              </w:rPr>
            </w:pPr>
          </w:p>
          <w:p w14:paraId="289BF871" w14:textId="56ACDB8F" w:rsidR="00A57181" w:rsidRPr="000054D9" w:rsidRDefault="001E4835" w:rsidP="001E4835">
            <w:pPr>
              <w:pStyle w:val="Standard"/>
              <w:jc w:val="both"/>
              <w:rPr>
                <w:rFonts w:cs="Times New Roman"/>
                <w:sz w:val="22"/>
              </w:rPr>
            </w:pPr>
            <w:r w:rsidRPr="001E4835">
              <w:rPr>
                <w:sz w:val="22"/>
              </w:rPr>
              <w:t xml:space="preserve">Lūdzam </w:t>
            </w:r>
            <w:r>
              <w:rPr>
                <w:sz w:val="22"/>
              </w:rPr>
              <w:t>salāgot</w:t>
            </w:r>
            <w:r w:rsidRPr="001E4835">
              <w:rPr>
                <w:sz w:val="22"/>
              </w:rPr>
              <w:t xml:space="preserve"> 2.2.specifisko atbilstības kritēriju </w:t>
            </w:r>
            <w:r w:rsidR="00C54922">
              <w:rPr>
                <w:sz w:val="22"/>
              </w:rPr>
              <w:t xml:space="preserve">ar </w:t>
            </w:r>
            <w:r w:rsidR="00C54922" w:rsidRPr="001E4835">
              <w:rPr>
                <w:sz w:val="22"/>
              </w:rPr>
              <w:t>projektu iesniegumu vērtēšanas kritēriju</w:t>
            </w:r>
            <w:r w:rsidR="00C54922">
              <w:rPr>
                <w:sz w:val="22"/>
              </w:rPr>
              <w:t xml:space="preserve"> piemērošanas</w:t>
            </w:r>
            <w:r w:rsidR="00C54922" w:rsidRPr="001E4835">
              <w:rPr>
                <w:sz w:val="22"/>
              </w:rPr>
              <w:t xml:space="preserve"> metodik</w:t>
            </w:r>
            <w:r w:rsidR="00C54922">
              <w:rPr>
                <w:sz w:val="22"/>
              </w:rPr>
              <w:t>ā norādīto kritērija redakciju</w:t>
            </w:r>
            <w:r w:rsidR="006B330C">
              <w:rPr>
                <w:sz w:val="22"/>
              </w:rPr>
              <w:t>, attiecīgi papildinot minēto kritēriju</w:t>
            </w:r>
            <w:r w:rsidR="006B330C">
              <w:t xml:space="preserve"> </w:t>
            </w:r>
            <w:r w:rsidR="006B330C" w:rsidRPr="006B330C">
              <w:rPr>
                <w:sz w:val="22"/>
              </w:rPr>
              <w:t>ar apakšpunktiem, kuros uzskaitīti vērtējamie principi</w:t>
            </w:r>
            <w:r w:rsidR="006B330C">
              <w:rPr>
                <w:sz w:val="22"/>
              </w:rPr>
              <w:t>.</w:t>
            </w:r>
          </w:p>
        </w:tc>
        <w:tc>
          <w:tcPr>
            <w:tcW w:w="2563" w:type="dxa"/>
          </w:tcPr>
          <w:p w14:paraId="0296CACA" w14:textId="4B2CD1EE" w:rsidR="00A57181" w:rsidRPr="000054D9" w:rsidRDefault="00002E6D" w:rsidP="00340749">
            <w:pPr>
              <w:pStyle w:val="Standard"/>
              <w:jc w:val="both"/>
              <w:rPr>
                <w:rFonts w:cs="Times New Roman"/>
                <w:sz w:val="22"/>
              </w:rPr>
            </w:pPr>
            <w:r>
              <w:rPr>
                <w:rFonts w:cs="Times New Roman"/>
                <w:sz w:val="22"/>
              </w:rPr>
              <w:t>Ņemts vērā</w:t>
            </w:r>
          </w:p>
        </w:tc>
        <w:tc>
          <w:tcPr>
            <w:tcW w:w="3702" w:type="dxa"/>
          </w:tcPr>
          <w:p w14:paraId="68CA670F" w14:textId="77777777" w:rsidR="00002E6D" w:rsidRPr="00002E6D" w:rsidRDefault="00002E6D" w:rsidP="00002E6D">
            <w:pPr>
              <w:pStyle w:val="Standard"/>
              <w:jc w:val="both"/>
              <w:rPr>
                <w:rFonts w:cs="Times New Roman"/>
                <w:sz w:val="22"/>
              </w:rPr>
            </w:pPr>
            <w:r w:rsidRPr="00002E6D">
              <w:rPr>
                <w:rFonts w:cs="Times New Roman"/>
                <w:sz w:val="22"/>
              </w:rPr>
              <w:t>Projekta darbības paredzēts īstenot, ievērojot Jaunā Eiropas “</w:t>
            </w:r>
            <w:proofErr w:type="spellStart"/>
            <w:r w:rsidRPr="00002E6D">
              <w:rPr>
                <w:rFonts w:cs="Times New Roman"/>
                <w:sz w:val="22"/>
              </w:rPr>
              <w:t>Bauhaus</w:t>
            </w:r>
            <w:proofErr w:type="spellEnd"/>
            <w:r w:rsidRPr="00002E6D">
              <w:rPr>
                <w:rFonts w:cs="Times New Roman"/>
                <w:sz w:val="22"/>
              </w:rPr>
              <w:t>” principus: estētika, ilgtspēja, iekļautība, tai skaitā, nodrošinot publiskās ārtelpas attīstības risinājumu iekļaušanos apkārtējā ainavā, dabā balstīto risinājumu, universālā dizaina principu ievērošanu:</w:t>
            </w:r>
          </w:p>
          <w:p w14:paraId="37E0A45C" w14:textId="77777777" w:rsidR="00002E6D" w:rsidRPr="00002E6D" w:rsidRDefault="00002E6D" w:rsidP="00002E6D">
            <w:pPr>
              <w:pStyle w:val="Standard"/>
              <w:jc w:val="both"/>
              <w:rPr>
                <w:rFonts w:cs="Times New Roman"/>
                <w:sz w:val="22"/>
              </w:rPr>
            </w:pPr>
            <w:r w:rsidRPr="00002E6D">
              <w:rPr>
                <w:rFonts w:cs="Times New Roman"/>
                <w:sz w:val="22"/>
              </w:rPr>
              <w:t>a)</w:t>
            </w:r>
            <w:r w:rsidRPr="00002E6D">
              <w:rPr>
                <w:rFonts w:cs="Times New Roman"/>
                <w:sz w:val="22"/>
              </w:rPr>
              <w:tab/>
              <w:t>estētika – projektā ir funkcionāli pamatota arhitektūras, dizaina, mākslas un kultūras komponente saskaņā ar kultūras mantojumu, ainavu un vietas identitāti;</w:t>
            </w:r>
          </w:p>
          <w:p w14:paraId="400E2534" w14:textId="77777777" w:rsidR="00002E6D" w:rsidRPr="00002E6D" w:rsidRDefault="00002E6D" w:rsidP="00002E6D">
            <w:pPr>
              <w:pStyle w:val="Standard"/>
              <w:jc w:val="both"/>
              <w:rPr>
                <w:rFonts w:cs="Times New Roman"/>
                <w:sz w:val="22"/>
              </w:rPr>
            </w:pPr>
            <w:r w:rsidRPr="00002E6D">
              <w:rPr>
                <w:rFonts w:cs="Times New Roman"/>
                <w:sz w:val="22"/>
              </w:rPr>
              <w:t>b)</w:t>
            </w:r>
            <w:r w:rsidRPr="00002E6D">
              <w:rPr>
                <w:rFonts w:cs="Times New Roman"/>
                <w:sz w:val="22"/>
              </w:rPr>
              <w:tab/>
              <w:t>ilgtspēja – projektā ir paredzēti ekonomiski pamatoti dabā balstīti risinājumi;</w:t>
            </w:r>
          </w:p>
          <w:p w14:paraId="79B6162D" w14:textId="77777777" w:rsidR="00002E6D" w:rsidRPr="00002E6D" w:rsidRDefault="00002E6D" w:rsidP="00002E6D">
            <w:pPr>
              <w:pStyle w:val="Standard"/>
              <w:jc w:val="both"/>
              <w:rPr>
                <w:rFonts w:cs="Times New Roman"/>
                <w:sz w:val="22"/>
              </w:rPr>
            </w:pPr>
            <w:r w:rsidRPr="00002E6D">
              <w:rPr>
                <w:rFonts w:cs="Times New Roman"/>
                <w:sz w:val="22"/>
              </w:rPr>
              <w:t>c)</w:t>
            </w:r>
            <w:r w:rsidRPr="00002E6D">
              <w:rPr>
                <w:rFonts w:cs="Times New Roman"/>
                <w:sz w:val="22"/>
              </w:rPr>
              <w:tab/>
              <w:t>iekļautība – projekts nodrošina dažādu grupu intereses un vajadzības, kā arī līdzvērtīgas infrastruktūras izmantošanas iespējas saskaņā ar universālā dizaina principiem.</w:t>
            </w:r>
          </w:p>
          <w:p w14:paraId="6DEE62A6" w14:textId="77777777" w:rsidR="00A57181" w:rsidRPr="000054D9" w:rsidRDefault="00A57181" w:rsidP="00340749">
            <w:pPr>
              <w:pStyle w:val="Standard"/>
              <w:jc w:val="both"/>
              <w:rPr>
                <w:rFonts w:cs="Times New Roman"/>
                <w:sz w:val="22"/>
              </w:rPr>
            </w:pPr>
          </w:p>
        </w:tc>
      </w:tr>
      <w:tr w:rsidR="00A57181" w:rsidRPr="000054D9" w14:paraId="75001870" w14:textId="77777777" w:rsidTr="0037277D">
        <w:tc>
          <w:tcPr>
            <w:tcW w:w="555" w:type="dxa"/>
          </w:tcPr>
          <w:p w14:paraId="01CD6B52" w14:textId="77777777" w:rsidR="00A57181" w:rsidRPr="000054D9" w:rsidRDefault="00A57181" w:rsidP="00A57181">
            <w:pPr>
              <w:pStyle w:val="Standard"/>
              <w:numPr>
                <w:ilvl w:val="0"/>
                <w:numId w:val="13"/>
              </w:numPr>
              <w:ind w:hanging="1049"/>
              <w:jc w:val="center"/>
              <w:rPr>
                <w:rFonts w:cs="Times New Roman"/>
                <w:b/>
                <w:bCs/>
                <w:sz w:val="22"/>
              </w:rPr>
            </w:pPr>
          </w:p>
        </w:tc>
        <w:tc>
          <w:tcPr>
            <w:tcW w:w="1980" w:type="dxa"/>
          </w:tcPr>
          <w:p w14:paraId="409ACF3A" w14:textId="110FDB18" w:rsidR="00A57181" w:rsidRPr="000054D9" w:rsidRDefault="00C8244A" w:rsidP="00340749">
            <w:pPr>
              <w:pStyle w:val="Standard"/>
              <w:jc w:val="both"/>
              <w:rPr>
                <w:rFonts w:cs="Times New Roman"/>
                <w:b/>
                <w:bCs/>
                <w:sz w:val="22"/>
              </w:rPr>
            </w:pPr>
            <w:r>
              <w:rPr>
                <w:rFonts w:cs="Times New Roman"/>
                <w:b/>
                <w:bCs/>
                <w:sz w:val="22"/>
              </w:rPr>
              <w:t>Kritērijs Nr. 2.4.</w:t>
            </w:r>
          </w:p>
        </w:tc>
        <w:tc>
          <w:tcPr>
            <w:tcW w:w="5148" w:type="dxa"/>
          </w:tcPr>
          <w:p w14:paraId="46FB7F60" w14:textId="77777777" w:rsidR="00C8244A" w:rsidRDefault="00C8244A" w:rsidP="00C8244A">
            <w:pPr>
              <w:pStyle w:val="Standard"/>
              <w:jc w:val="both"/>
              <w:rPr>
                <w:rFonts w:cs="Times New Roman"/>
                <w:b/>
                <w:bCs/>
                <w:sz w:val="22"/>
              </w:rPr>
            </w:pPr>
            <w:r w:rsidRPr="001E4835">
              <w:rPr>
                <w:b/>
                <w:bCs/>
                <w:sz w:val="22"/>
              </w:rPr>
              <w:t>Finanšu ministrija</w:t>
            </w:r>
          </w:p>
          <w:p w14:paraId="28D299C8" w14:textId="77777777" w:rsidR="00C8244A" w:rsidRDefault="00C8244A" w:rsidP="00340749">
            <w:pPr>
              <w:pStyle w:val="Standard"/>
              <w:jc w:val="both"/>
              <w:rPr>
                <w:rFonts w:cs="Times New Roman"/>
                <w:sz w:val="22"/>
              </w:rPr>
            </w:pPr>
          </w:p>
          <w:p w14:paraId="0E0CC4E2" w14:textId="79278952" w:rsidR="00A57181" w:rsidRPr="000054D9" w:rsidRDefault="00C8244A" w:rsidP="00340749">
            <w:pPr>
              <w:pStyle w:val="Standard"/>
              <w:jc w:val="both"/>
              <w:rPr>
                <w:rFonts w:cs="Times New Roman"/>
                <w:sz w:val="22"/>
              </w:rPr>
            </w:pPr>
            <w:r w:rsidRPr="001E4835">
              <w:rPr>
                <w:sz w:val="22"/>
              </w:rPr>
              <w:t xml:space="preserve">Lūdzam </w:t>
            </w:r>
            <w:r>
              <w:rPr>
                <w:sz w:val="22"/>
              </w:rPr>
              <w:t>salāgot</w:t>
            </w:r>
            <w:r w:rsidRPr="001E4835">
              <w:rPr>
                <w:sz w:val="22"/>
              </w:rPr>
              <w:t xml:space="preserve"> 2.</w:t>
            </w:r>
            <w:r>
              <w:rPr>
                <w:sz w:val="22"/>
              </w:rPr>
              <w:t>4</w:t>
            </w:r>
            <w:r w:rsidRPr="001E4835">
              <w:rPr>
                <w:sz w:val="22"/>
              </w:rPr>
              <w:t xml:space="preserve">.specifisko atbilstības kritēriju </w:t>
            </w:r>
            <w:r>
              <w:rPr>
                <w:sz w:val="22"/>
              </w:rPr>
              <w:t xml:space="preserve">ar </w:t>
            </w:r>
            <w:r w:rsidRPr="001E4835">
              <w:rPr>
                <w:sz w:val="22"/>
              </w:rPr>
              <w:t>projektu iesniegumu vērtēšanas kritēriju</w:t>
            </w:r>
            <w:r>
              <w:rPr>
                <w:sz w:val="22"/>
              </w:rPr>
              <w:t xml:space="preserve"> piemērošanas</w:t>
            </w:r>
            <w:r w:rsidRPr="001E4835">
              <w:rPr>
                <w:sz w:val="22"/>
              </w:rPr>
              <w:t xml:space="preserve"> metodik</w:t>
            </w:r>
            <w:r>
              <w:rPr>
                <w:sz w:val="22"/>
              </w:rPr>
              <w:t>ā norādīto kritērija redakciju</w:t>
            </w:r>
            <w:r w:rsidR="006B330C">
              <w:rPr>
                <w:sz w:val="22"/>
              </w:rPr>
              <w:t>, attiecīgi papildinot minēto kritēriju</w:t>
            </w:r>
            <w:r w:rsidR="006B330C">
              <w:t xml:space="preserve"> </w:t>
            </w:r>
            <w:r w:rsidR="006B330C" w:rsidRPr="006B330C">
              <w:rPr>
                <w:sz w:val="22"/>
              </w:rPr>
              <w:t>ar apakšpunktiem, kuros uzskaitīti vērtējamie principi</w:t>
            </w:r>
            <w:r>
              <w:rPr>
                <w:sz w:val="22"/>
              </w:rPr>
              <w:t>.</w:t>
            </w:r>
          </w:p>
        </w:tc>
        <w:tc>
          <w:tcPr>
            <w:tcW w:w="2563" w:type="dxa"/>
          </w:tcPr>
          <w:p w14:paraId="1AE9D04B" w14:textId="3C4A2C09" w:rsidR="00A57181" w:rsidRPr="000054D9" w:rsidRDefault="000513BF" w:rsidP="00340749">
            <w:pPr>
              <w:pStyle w:val="Standard"/>
              <w:jc w:val="both"/>
              <w:rPr>
                <w:rFonts w:cs="Times New Roman"/>
                <w:sz w:val="22"/>
              </w:rPr>
            </w:pPr>
            <w:r>
              <w:rPr>
                <w:rFonts w:cs="Times New Roman"/>
                <w:sz w:val="22"/>
              </w:rPr>
              <w:t>Ņemts vērā</w:t>
            </w:r>
          </w:p>
        </w:tc>
        <w:tc>
          <w:tcPr>
            <w:tcW w:w="3702" w:type="dxa"/>
          </w:tcPr>
          <w:p w14:paraId="5BF62A63" w14:textId="77777777" w:rsidR="000513BF" w:rsidRPr="009B34A9" w:rsidRDefault="000513BF" w:rsidP="000513BF">
            <w:pPr>
              <w:tabs>
                <w:tab w:val="left" w:pos="284"/>
              </w:tabs>
              <w:spacing w:after="120"/>
              <w:ind w:right="176"/>
              <w:jc w:val="both"/>
              <w:rPr>
                <w:szCs w:val="27"/>
              </w:rPr>
            </w:pPr>
            <w:r w:rsidRPr="009B34A9">
              <w:rPr>
                <w:szCs w:val="27"/>
              </w:rPr>
              <w:t>Projekt</w:t>
            </w:r>
            <w:r>
              <w:rPr>
                <w:szCs w:val="27"/>
              </w:rPr>
              <w:t>a</w:t>
            </w:r>
            <w:r w:rsidRPr="009B34A9">
              <w:rPr>
                <w:szCs w:val="27"/>
              </w:rPr>
              <w:t xml:space="preserve"> iesniedzēj</w:t>
            </w:r>
            <w:r>
              <w:rPr>
                <w:szCs w:val="27"/>
              </w:rPr>
              <w:t>s</w:t>
            </w:r>
            <w:r w:rsidRPr="009B34A9">
              <w:rPr>
                <w:szCs w:val="27"/>
              </w:rPr>
              <w:t xml:space="preserve"> izpilda nepieciešamās prasības horizontālā principa “</w:t>
            </w:r>
            <w:proofErr w:type="spellStart"/>
            <w:r w:rsidRPr="009B34A9">
              <w:rPr>
                <w:szCs w:val="27"/>
              </w:rPr>
              <w:t>Klimatdrošināšana</w:t>
            </w:r>
            <w:proofErr w:type="spellEnd"/>
            <w:r w:rsidRPr="009B34A9">
              <w:rPr>
                <w:szCs w:val="27"/>
              </w:rPr>
              <w:t>”</w:t>
            </w:r>
            <w:r>
              <w:rPr>
                <w:szCs w:val="27"/>
              </w:rPr>
              <w:t xml:space="preserve">, “Energoefektivitāte pirmajā vietā” (ja attiecināms) </w:t>
            </w:r>
            <w:r w:rsidRPr="009B34A9">
              <w:rPr>
                <w:szCs w:val="27"/>
              </w:rPr>
              <w:t xml:space="preserve">un principa “Nenodarīt būtisku kaitējumu” </w:t>
            </w:r>
            <w:r w:rsidRPr="009B34A9">
              <w:rPr>
                <w:szCs w:val="27"/>
              </w:rPr>
              <w:lastRenderedPageBreak/>
              <w:t>ievērošanai attiecībā uz klimata pārmaiņu mazināšanu un pielāgošanos klimata pārmaiņām:</w:t>
            </w:r>
          </w:p>
          <w:p w14:paraId="0DC5116D" w14:textId="77777777" w:rsidR="000513BF" w:rsidRDefault="000513BF" w:rsidP="000513BF">
            <w:pPr>
              <w:tabs>
                <w:tab w:val="left" w:pos="284"/>
              </w:tabs>
              <w:spacing w:after="120"/>
              <w:ind w:right="176"/>
              <w:jc w:val="both"/>
              <w:rPr>
                <w:szCs w:val="27"/>
              </w:rPr>
            </w:pPr>
            <w:r>
              <w:rPr>
                <w:szCs w:val="27"/>
              </w:rPr>
              <w:t>-</w:t>
            </w:r>
            <w:r w:rsidRPr="009B34A9">
              <w:rPr>
                <w:szCs w:val="27"/>
              </w:rPr>
              <w:t xml:space="preserve"> projekt</w:t>
            </w:r>
            <w:r>
              <w:rPr>
                <w:szCs w:val="27"/>
              </w:rPr>
              <w:t>ā</w:t>
            </w:r>
            <w:r w:rsidRPr="009B34A9">
              <w:rPr>
                <w:szCs w:val="27"/>
              </w:rPr>
              <w:t xml:space="preserve"> paredzēts īstenot aktivitātes, kas nodrošina klimata pārmaiņu mazināšanu</w:t>
            </w:r>
            <w:r>
              <w:rPr>
                <w:szCs w:val="27"/>
              </w:rPr>
              <w:t xml:space="preserve">, </w:t>
            </w:r>
            <w:r w:rsidRPr="009B34A9">
              <w:rPr>
                <w:szCs w:val="27"/>
              </w:rPr>
              <w:t>siltumnīcefekta gāzu emisiju samazināšanu vai oglekļa dioksīda piesaisti</w:t>
            </w:r>
            <w:r>
              <w:rPr>
                <w:szCs w:val="27"/>
              </w:rPr>
              <w:t>, ja attiecināms;</w:t>
            </w:r>
          </w:p>
          <w:p w14:paraId="5C3A46EE" w14:textId="77777777" w:rsidR="000513BF" w:rsidRPr="009B34A9" w:rsidRDefault="000513BF" w:rsidP="000513BF">
            <w:pPr>
              <w:tabs>
                <w:tab w:val="left" w:pos="284"/>
              </w:tabs>
              <w:spacing w:after="120"/>
              <w:ind w:right="176"/>
              <w:jc w:val="both"/>
              <w:rPr>
                <w:szCs w:val="27"/>
              </w:rPr>
            </w:pPr>
            <w:r>
              <w:rPr>
                <w:szCs w:val="27"/>
              </w:rPr>
              <w:t xml:space="preserve">-projektā paredzēts īstenot </w:t>
            </w:r>
            <w:r w:rsidRPr="003675EE">
              <w:rPr>
                <w:szCs w:val="27"/>
              </w:rPr>
              <w:t>darbīb</w:t>
            </w:r>
            <w:r>
              <w:rPr>
                <w:szCs w:val="27"/>
              </w:rPr>
              <w:t>as</w:t>
            </w:r>
            <w:r w:rsidRPr="003675EE">
              <w:rPr>
                <w:szCs w:val="27"/>
              </w:rPr>
              <w:t>, kas paredz enerģijas ietaupījumu</w:t>
            </w:r>
            <w:r>
              <w:rPr>
                <w:szCs w:val="27"/>
              </w:rPr>
              <w:t>, ja attiecināms</w:t>
            </w:r>
            <w:r w:rsidRPr="003675EE">
              <w:rPr>
                <w:szCs w:val="27"/>
              </w:rPr>
              <w:t>;</w:t>
            </w:r>
          </w:p>
          <w:p w14:paraId="16E89DF2" w14:textId="42C00B7A" w:rsidR="00A57181" w:rsidRPr="000054D9" w:rsidRDefault="000513BF" w:rsidP="000513BF">
            <w:pPr>
              <w:pStyle w:val="Standard"/>
              <w:jc w:val="both"/>
              <w:rPr>
                <w:rFonts w:cs="Times New Roman"/>
                <w:sz w:val="22"/>
              </w:rPr>
            </w:pPr>
            <w:r>
              <w:rPr>
                <w:szCs w:val="27"/>
              </w:rPr>
              <w:t>-</w:t>
            </w:r>
            <w:proofErr w:type="gramStart"/>
            <w:r>
              <w:rPr>
                <w:szCs w:val="27"/>
              </w:rPr>
              <w:t xml:space="preserve"> </w:t>
            </w:r>
            <w:r w:rsidRPr="009B34A9">
              <w:rPr>
                <w:szCs w:val="27"/>
              </w:rPr>
              <w:t xml:space="preserve"> </w:t>
            </w:r>
            <w:proofErr w:type="gramEnd"/>
            <w:r w:rsidRPr="009B34A9">
              <w:rPr>
                <w:szCs w:val="27"/>
              </w:rPr>
              <w:t>projektā tiek nodrošināta atbilstība pielāgošanās klimata pārmaiņām aspektiem.</w:t>
            </w:r>
          </w:p>
        </w:tc>
      </w:tr>
      <w:tr w:rsidR="0055417B" w:rsidRPr="000054D9" w14:paraId="03C7271B" w14:textId="77777777" w:rsidTr="0037277D">
        <w:tc>
          <w:tcPr>
            <w:tcW w:w="555" w:type="dxa"/>
          </w:tcPr>
          <w:p w14:paraId="510C4EE1" w14:textId="77777777" w:rsidR="0055417B" w:rsidRPr="000054D9" w:rsidRDefault="0055417B" w:rsidP="0055417B">
            <w:pPr>
              <w:pStyle w:val="Standard"/>
              <w:numPr>
                <w:ilvl w:val="0"/>
                <w:numId w:val="13"/>
              </w:numPr>
              <w:ind w:hanging="1049"/>
              <w:jc w:val="center"/>
              <w:rPr>
                <w:b/>
                <w:bCs/>
                <w:sz w:val="22"/>
              </w:rPr>
            </w:pPr>
          </w:p>
        </w:tc>
        <w:tc>
          <w:tcPr>
            <w:tcW w:w="1980" w:type="dxa"/>
          </w:tcPr>
          <w:p w14:paraId="603AE062" w14:textId="1E45EB7B" w:rsidR="0055417B" w:rsidRDefault="0055417B" w:rsidP="0055417B">
            <w:pPr>
              <w:pStyle w:val="Standard"/>
              <w:jc w:val="both"/>
              <w:rPr>
                <w:b/>
                <w:bCs/>
                <w:sz w:val="22"/>
              </w:rPr>
            </w:pPr>
            <w:r>
              <w:rPr>
                <w:rFonts w:cs="Times New Roman"/>
                <w:b/>
                <w:bCs/>
                <w:sz w:val="22"/>
              </w:rPr>
              <w:t>Kritērijs Nr. 2.4.</w:t>
            </w:r>
          </w:p>
        </w:tc>
        <w:tc>
          <w:tcPr>
            <w:tcW w:w="5148" w:type="dxa"/>
          </w:tcPr>
          <w:p w14:paraId="7B678760" w14:textId="77777777" w:rsidR="0055417B" w:rsidRPr="00D2118D" w:rsidRDefault="0055417B" w:rsidP="0055417B">
            <w:pPr>
              <w:pStyle w:val="Standard"/>
              <w:jc w:val="both"/>
              <w:rPr>
                <w:rFonts w:cs="Times New Roman"/>
                <w:b/>
                <w:bCs/>
                <w:sz w:val="22"/>
              </w:rPr>
            </w:pPr>
            <w:r w:rsidRPr="00D2118D">
              <w:rPr>
                <w:rFonts w:cs="Times New Roman"/>
                <w:b/>
                <w:bCs/>
                <w:sz w:val="22"/>
              </w:rPr>
              <w:t>Centrālā finanšu un līgumu aģentūra</w:t>
            </w:r>
          </w:p>
          <w:p w14:paraId="4DC168D5" w14:textId="77777777" w:rsidR="0055417B" w:rsidRDefault="0055417B" w:rsidP="0055417B">
            <w:pPr>
              <w:pStyle w:val="Standard"/>
              <w:jc w:val="both"/>
              <w:rPr>
                <w:rFonts w:cs="Times New Roman"/>
                <w:sz w:val="22"/>
              </w:rPr>
            </w:pPr>
          </w:p>
          <w:p w14:paraId="4DBEF6DA" w14:textId="0FDF9012" w:rsidR="0055417B" w:rsidRPr="001E4835" w:rsidRDefault="0055417B" w:rsidP="0055417B">
            <w:pPr>
              <w:pStyle w:val="Standard"/>
              <w:jc w:val="both"/>
              <w:rPr>
                <w:b/>
                <w:bCs/>
                <w:sz w:val="22"/>
              </w:rPr>
            </w:pPr>
            <w:r w:rsidRPr="00D2118D">
              <w:rPr>
                <w:rFonts w:cs="Times New Roman"/>
                <w:sz w:val="22"/>
              </w:rPr>
              <w:t>Atbilstoši Finanšu ministrijas metodikas Nr.3.1. “Eiropas Reģionālās attīstības fonda, Eiropas Sociālā fonda plus, Kohēzijas fonda un Taisnīgas pārkārtošanās fonda projektu iesniegumu atlases metodika 2021.-2027.gadam” (turpmāk – 3.1.metodika) 10. sadaļai ““Horizontālo principu vērtēšanas kritēriji” un, konsultējoties ar par nozares atbildīgo ministriju, un, ņemot vērā, ka projektiem ir tieša ietekme uz horizontāliem principiem "</w:t>
            </w:r>
            <w:proofErr w:type="spellStart"/>
            <w:r w:rsidRPr="00D2118D">
              <w:rPr>
                <w:rFonts w:cs="Times New Roman"/>
                <w:sz w:val="22"/>
              </w:rPr>
              <w:t>Klimatdrošināšana</w:t>
            </w:r>
            <w:proofErr w:type="spellEnd"/>
            <w:r w:rsidRPr="00D2118D">
              <w:rPr>
                <w:rFonts w:cs="Times New Roman"/>
                <w:sz w:val="22"/>
              </w:rPr>
              <w:t>", "Energoefektivitāte pirmajā vietā" un "Nenodarīt būtisku kaitējumu", aicinām kritēriju komplektu papildināt un specifisko atbilstības kritēriju Nr.2.4.sadalīt atsevišķos horizontālā principa kritērijos “</w:t>
            </w:r>
            <w:proofErr w:type="spellStart"/>
            <w:r w:rsidRPr="00D2118D">
              <w:rPr>
                <w:rFonts w:cs="Times New Roman"/>
                <w:sz w:val="22"/>
              </w:rPr>
              <w:t>Klimatdrošināšana</w:t>
            </w:r>
            <w:proofErr w:type="spellEnd"/>
            <w:r w:rsidRPr="00D2118D">
              <w:rPr>
                <w:rFonts w:cs="Times New Roman"/>
                <w:sz w:val="22"/>
              </w:rPr>
              <w:t>”.,  “Energoefektivitāte pirmajā vietā” un “Nenodarīt būtisku kaitējumu”.</w:t>
            </w:r>
          </w:p>
        </w:tc>
        <w:tc>
          <w:tcPr>
            <w:tcW w:w="2563" w:type="dxa"/>
          </w:tcPr>
          <w:p w14:paraId="3210EE93" w14:textId="47B45E78" w:rsidR="0055417B" w:rsidRPr="000054D9" w:rsidRDefault="008C054F" w:rsidP="0055417B">
            <w:pPr>
              <w:pStyle w:val="Standard"/>
              <w:jc w:val="both"/>
              <w:rPr>
                <w:sz w:val="22"/>
              </w:rPr>
            </w:pPr>
            <w:r>
              <w:rPr>
                <w:sz w:val="22"/>
              </w:rPr>
              <w:t>Ņemts vērā</w:t>
            </w:r>
          </w:p>
        </w:tc>
        <w:tc>
          <w:tcPr>
            <w:tcW w:w="3702" w:type="dxa"/>
          </w:tcPr>
          <w:p w14:paraId="1ACF33AA" w14:textId="77777777" w:rsidR="0055417B" w:rsidRDefault="007D1FB0" w:rsidP="0055417B">
            <w:pPr>
              <w:pStyle w:val="Standard"/>
              <w:jc w:val="both"/>
              <w:rPr>
                <w:sz w:val="22"/>
              </w:rPr>
            </w:pPr>
            <w:r>
              <w:rPr>
                <w:sz w:val="22"/>
              </w:rPr>
              <w:t xml:space="preserve">Kritēriji papildināti ar 2.5. un </w:t>
            </w:r>
            <w:proofErr w:type="gramStart"/>
            <w:r>
              <w:rPr>
                <w:sz w:val="22"/>
              </w:rPr>
              <w:t>2.6. sadaļām</w:t>
            </w:r>
            <w:proofErr w:type="gramEnd"/>
            <w:r>
              <w:rPr>
                <w:sz w:val="22"/>
              </w:rPr>
              <w:t>:</w:t>
            </w:r>
          </w:p>
          <w:p w14:paraId="53546400" w14:textId="77777777" w:rsidR="00F6541D" w:rsidRDefault="007D1FB0" w:rsidP="00F6541D">
            <w:pPr>
              <w:pStyle w:val="Standard"/>
              <w:jc w:val="both"/>
              <w:rPr>
                <w:szCs w:val="27"/>
              </w:rPr>
            </w:pPr>
            <w:r>
              <w:rPr>
                <w:szCs w:val="27"/>
              </w:rPr>
              <w:t xml:space="preserve">2.5. </w:t>
            </w:r>
            <w:r w:rsidRPr="00C728DD">
              <w:rPr>
                <w:szCs w:val="27"/>
              </w:rPr>
              <w:t>Projekta iesniedzējs izpilda nepieciešamās prasības horizontālā principa “</w:t>
            </w:r>
            <w:proofErr w:type="spellStart"/>
            <w:r w:rsidRPr="00C728DD">
              <w:rPr>
                <w:szCs w:val="27"/>
              </w:rPr>
              <w:t>Klimatdrošināšana</w:t>
            </w:r>
            <w:proofErr w:type="spellEnd"/>
            <w:r>
              <w:rPr>
                <w:szCs w:val="27"/>
              </w:rPr>
              <w:t>” ievērošanai</w:t>
            </w:r>
            <w:r w:rsidR="00F6541D">
              <w:rPr>
                <w:szCs w:val="27"/>
              </w:rPr>
              <w:t>.</w:t>
            </w:r>
          </w:p>
          <w:p w14:paraId="4E9D4E06" w14:textId="30A53CFD" w:rsidR="007D1FB0" w:rsidRPr="000054D9" w:rsidRDefault="007D1FB0" w:rsidP="00F6541D">
            <w:pPr>
              <w:pStyle w:val="Standard"/>
              <w:jc w:val="both"/>
              <w:rPr>
                <w:sz w:val="22"/>
              </w:rPr>
            </w:pPr>
            <w:r>
              <w:rPr>
                <w:sz w:val="22"/>
              </w:rPr>
              <w:t xml:space="preserve">2.6. </w:t>
            </w:r>
            <w:r w:rsidRPr="007D1FB0">
              <w:rPr>
                <w:sz w:val="22"/>
              </w:rPr>
              <w:t>Projekta iesniedzējs izpilda nepieciešamās prasības horizontālā principa “Energoefektivitāte pirmajā vietā” (ja attiecināms) ievērošanai</w:t>
            </w:r>
            <w:r w:rsidR="00F6541D">
              <w:rPr>
                <w:sz w:val="22"/>
              </w:rPr>
              <w:t>.</w:t>
            </w:r>
          </w:p>
        </w:tc>
      </w:tr>
      <w:tr w:rsidR="0055417B" w:rsidRPr="000054D9" w14:paraId="741F0338" w14:textId="77777777" w:rsidTr="0037277D">
        <w:tc>
          <w:tcPr>
            <w:tcW w:w="555" w:type="dxa"/>
          </w:tcPr>
          <w:p w14:paraId="573C6219" w14:textId="77777777" w:rsidR="0055417B" w:rsidRPr="000054D9" w:rsidRDefault="0055417B" w:rsidP="0055417B">
            <w:pPr>
              <w:pStyle w:val="Standard"/>
              <w:numPr>
                <w:ilvl w:val="0"/>
                <w:numId w:val="13"/>
              </w:numPr>
              <w:ind w:hanging="1049"/>
              <w:jc w:val="center"/>
              <w:rPr>
                <w:b/>
                <w:bCs/>
                <w:sz w:val="22"/>
              </w:rPr>
            </w:pPr>
          </w:p>
        </w:tc>
        <w:tc>
          <w:tcPr>
            <w:tcW w:w="1980" w:type="dxa"/>
          </w:tcPr>
          <w:p w14:paraId="428C4906" w14:textId="0EA6AA1B" w:rsidR="0055417B" w:rsidRDefault="0055417B" w:rsidP="0055417B">
            <w:pPr>
              <w:pStyle w:val="Standard"/>
              <w:jc w:val="both"/>
              <w:rPr>
                <w:b/>
                <w:bCs/>
                <w:sz w:val="22"/>
              </w:rPr>
            </w:pPr>
            <w:r>
              <w:rPr>
                <w:rFonts w:cs="Times New Roman"/>
                <w:b/>
                <w:bCs/>
                <w:sz w:val="22"/>
              </w:rPr>
              <w:t>Vispārīgi</w:t>
            </w:r>
          </w:p>
        </w:tc>
        <w:tc>
          <w:tcPr>
            <w:tcW w:w="5148" w:type="dxa"/>
          </w:tcPr>
          <w:p w14:paraId="2AD87DB0" w14:textId="77777777" w:rsidR="0055417B" w:rsidRPr="00D2118D" w:rsidRDefault="0055417B" w:rsidP="0055417B">
            <w:pPr>
              <w:pStyle w:val="Standard"/>
              <w:jc w:val="both"/>
              <w:rPr>
                <w:rFonts w:cs="Times New Roman"/>
                <w:b/>
                <w:bCs/>
                <w:sz w:val="22"/>
              </w:rPr>
            </w:pPr>
            <w:r w:rsidRPr="00D2118D">
              <w:rPr>
                <w:rFonts w:cs="Times New Roman"/>
                <w:b/>
                <w:bCs/>
                <w:sz w:val="22"/>
              </w:rPr>
              <w:t>Centrālā finanšu un līgumu aģentūra</w:t>
            </w:r>
          </w:p>
          <w:p w14:paraId="4E5AA566" w14:textId="77777777" w:rsidR="0055417B" w:rsidRDefault="0055417B" w:rsidP="0055417B">
            <w:pPr>
              <w:pStyle w:val="Standard"/>
              <w:jc w:val="both"/>
              <w:rPr>
                <w:rFonts w:cs="Times New Roman"/>
                <w:sz w:val="22"/>
              </w:rPr>
            </w:pPr>
          </w:p>
          <w:p w14:paraId="06881971" w14:textId="77777777" w:rsidR="0055417B" w:rsidRPr="00D2118D" w:rsidRDefault="0055417B" w:rsidP="0055417B">
            <w:pPr>
              <w:pStyle w:val="Standard"/>
              <w:jc w:val="both"/>
              <w:rPr>
                <w:sz w:val="22"/>
              </w:rPr>
            </w:pPr>
            <w:r w:rsidRPr="00D2118D">
              <w:rPr>
                <w:sz w:val="22"/>
              </w:rPr>
              <w:lastRenderedPageBreak/>
              <w:t>Papildināt kritēriju komplektu iekļaujot papildus specifiskos kritērijus, ar kuriem projekta iesniegumā izvērtēta:</w:t>
            </w:r>
          </w:p>
          <w:p w14:paraId="2E44C04B" w14:textId="77777777" w:rsidR="0055417B" w:rsidRPr="00D2118D" w:rsidRDefault="0055417B" w:rsidP="0055417B">
            <w:pPr>
              <w:pStyle w:val="Standard"/>
              <w:jc w:val="both"/>
              <w:rPr>
                <w:sz w:val="22"/>
              </w:rPr>
            </w:pPr>
            <w:r w:rsidRPr="00D2118D">
              <w:rPr>
                <w:sz w:val="22"/>
              </w:rPr>
              <w:t>1. projekta īstenošanas gatavības pakāpe,</w:t>
            </w:r>
          </w:p>
          <w:p w14:paraId="1ADA5342" w14:textId="1E91D896" w:rsidR="0055417B" w:rsidRPr="001E4835" w:rsidRDefault="0055417B" w:rsidP="0055417B">
            <w:pPr>
              <w:pStyle w:val="Standard"/>
              <w:jc w:val="both"/>
              <w:rPr>
                <w:b/>
                <w:bCs/>
                <w:sz w:val="22"/>
              </w:rPr>
            </w:pPr>
            <w:r w:rsidRPr="00D2118D">
              <w:rPr>
                <w:sz w:val="22"/>
              </w:rPr>
              <w:t>2. nekustamā īpašuma īpašumtiesības, tai skaitā izvērtētas īpašumtiesības uz transportlīdzekļiem.</w:t>
            </w:r>
          </w:p>
        </w:tc>
        <w:tc>
          <w:tcPr>
            <w:tcW w:w="2563" w:type="dxa"/>
          </w:tcPr>
          <w:p w14:paraId="44B8C9EB" w14:textId="6F7CA375" w:rsidR="0055417B" w:rsidRPr="000054D9" w:rsidRDefault="002A2721" w:rsidP="0055417B">
            <w:pPr>
              <w:pStyle w:val="Standard"/>
              <w:jc w:val="both"/>
              <w:rPr>
                <w:sz w:val="22"/>
              </w:rPr>
            </w:pPr>
            <w:r>
              <w:rPr>
                <w:sz w:val="22"/>
              </w:rPr>
              <w:lastRenderedPageBreak/>
              <w:t>Ņemts vērā</w:t>
            </w:r>
          </w:p>
        </w:tc>
        <w:tc>
          <w:tcPr>
            <w:tcW w:w="3702" w:type="dxa"/>
          </w:tcPr>
          <w:p w14:paraId="77984AFB" w14:textId="77777777" w:rsidR="00712A52" w:rsidRPr="00712A52" w:rsidRDefault="002A2721" w:rsidP="0055417B">
            <w:pPr>
              <w:pStyle w:val="Standard"/>
              <w:jc w:val="both"/>
              <w:rPr>
                <w:sz w:val="22"/>
              </w:rPr>
            </w:pPr>
            <w:r w:rsidRPr="00712A52">
              <w:rPr>
                <w:sz w:val="22"/>
              </w:rPr>
              <w:t xml:space="preserve">Specifiskie kritēriji papildināti </w:t>
            </w:r>
            <w:r w:rsidR="00712A52" w:rsidRPr="00712A52">
              <w:rPr>
                <w:sz w:val="22"/>
              </w:rPr>
              <w:t>sekojošiem kritērijiem</w:t>
            </w:r>
            <w:r w:rsidRPr="00712A52">
              <w:rPr>
                <w:sz w:val="22"/>
              </w:rPr>
              <w:t xml:space="preserve">: </w:t>
            </w:r>
          </w:p>
          <w:p w14:paraId="29516A3B" w14:textId="62712273" w:rsidR="00712A52" w:rsidRPr="00712A52" w:rsidRDefault="00712A52" w:rsidP="00712A52">
            <w:pPr>
              <w:jc w:val="both"/>
              <w:rPr>
                <w:rFonts w:eastAsia="Times New Roman"/>
                <w:sz w:val="22"/>
              </w:rPr>
            </w:pPr>
            <w:r w:rsidRPr="00712A52">
              <w:rPr>
                <w:sz w:val="22"/>
              </w:rPr>
              <w:t>2.2. “</w:t>
            </w:r>
            <w:r w:rsidR="00256504">
              <w:rPr>
                <w:sz w:val="22"/>
              </w:rPr>
              <w:t>P</w:t>
            </w:r>
            <w:r w:rsidRPr="00712A52">
              <w:rPr>
                <w:rFonts w:eastAsia="Times New Roman"/>
                <w:sz w:val="22"/>
              </w:rPr>
              <w:t xml:space="preserve">rojekta ietvaros paredzētajām </w:t>
            </w:r>
            <w:r w:rsidRPr="00712A52">
              <w:rPr>
                <w:rFonts w:eastAsia="Times New Roman"/>
                <w:sz w:val="22"/>
              </w:rPr>
              <w:lastRenderedPageBreak/>
              <w:t>būvniecības darbībām (ja attiecināms) ir vismaz šāda gatavības stadija:</w:t>
            </w:r>
          </w:p>
          <w:p w14:paraId="33652915" w14:textId="59921C95" w:rsidR="00712A52" w:rsidRDefault="00712A52" w:rsidP="00712A52">
            <w:pPr>
              <w:jc w:val="both"/>
              <w:rPr>
                <w:rFonts w:eastAsia="Times New Roman"/>
                <w:sz w:val="22"/>
              </w:rPr>
            </w:pPr>
            <w:r w:rsidRPr="00712A52">
              <w:rPr>
                <w:rFonts w:eastAsia="Times New Roman"/>
                <w:sz w:val="22"/>
              </w:rPr>
              <w:t xml:space="preserve">- </w:t>
            </w:r>
            <w:bookmarkStart w:id="1" w:name="_GoBack"/>
            <w:r w:rsidRPr="00712A52">
              <w:rPr>
                <w:rFonts w:eastAsia="Times New Roman"/>
                <w:sz w:val="22"/>
              </w:rPr>
              <w:t>sagatavots projektēšanas uzdevums par būvniecības ieceres dokumentu sagatavošanu vai iesniegta būvvaldes izziņa, kas apliecina, ka iepriekš minētie dokumenti nav nepieciešami</w:t>
            </w:r>
            <w:r w:rsidR="00256504">
              <w:rPr>
                <w:rFonts w:eastAsia="Times New Roman"/>
                <w:sz w:val="22"/>
              </w:rPr>
              <w:t xml:space="preserve"> (ja attiecināms)</w:t>
            </w:r>
            <w:r w:rsidRPr="00712A52">
              <w:rPr>
                <w:rFonts w:eastAsia="Times New Roman"/>
                <w:sz w:val="22"/>
              </w:rPr>
              <w:t>;</w:t>
            </w:r>
          </w:p>
          <w:p w14:paraId="555F6D39" w14:textId="0D2DBC5B" w:rsidR="00256504" w:rsidRPr="00712A52" w:rsidRDefault="00256504" w:rsidP="00712A52">
            <w:pPr>
              <w:jc w:val="both"/>
              <w:rPr>
                <w:rFonts w:eastAsia="Times New Roman"/>
                <w:sz w:val="22"/>
              </w:rPr>
            </w:pPr>
            <w:r>
              <w:rPr>
                <w:rFonts w:eastAsia="Times New Roman"/>
                <w:sz w:val="22"/>
              </w:rPr>
              <w:t>-sagatavota tehniskā specifikācija (ja attiecināms);</w:t>
            </w:r>
          </w:p>
          <w:p w14:paraId="0B31A871" w14:textId="4AE5E7B1" w:rsidR="00712A52" w:rsidRPr="00712A52" w:rsidRDefault="00712A52" w:rsidP="00712A52">
            <w:pPr>
              <w:pStyle w:val="Standard"/>
              <w:jc w:val="both"/>
              <w:rPr>
                <w:sz w:val="22"/>
              </w:rPr>
            </w:pPr>
            <w:r w:rsidRPr="00712A52">
              <w:rPr>
                <w:rFonts w:eastAsia="Times New Roman"/>
                <w:sz w:val="22"/>
              </w:rPr>
              <w:t>- iesniegta indikatīva būvdarbu izmaksu aplēse (tāme).</w:t>
            </w:r>
            <w:r w:rsidRPr="00712A52">
              <w:rPr>
                <w:sz w:val="22"/>
              </w:rPr>
              <w:t>”</w:t>
            </w:r>
            <w:bookmarkEnd w:id="1"/>
          </w:p>
          <w:p w14:paraId="149D7C2E" w14:textId="77777777" w:rsidR="0055417B" w:rsidRDefault="00712A52" w:rsidP="0055417B">
            <w:pPr>
              <w:pStyle w:val="Standard"/>
              <w:jc w:val="both"/>
              <w:rPr>
                <w:sz w:val="22"/>
              </w:rPr>
            </w:pPr>
            <w:r>
              <w:rPr>
                <w:sz w:val="22"/>
              </w:rPr>
              <w:t xml:space="preserve">2.3. </w:t>
            </w:r>
            <w:r w:rsidR="002A2721">
              <w:rPr>
                <w:sz w:val="22"/>
              </w:rPr>
              <w:t>“</w:t>
            </w:r>
            <w:r w:rsidR="002A2721" w:rsidRPr="002A2721">
              <w:rPr>
                <w:sz w:val="22"/>
              </w:rPr>
              <w:t>Infrastruktūras, kurā paredzēts veikt ieguldījumus projekta ietvaros, īpašumtiesības atbilst MK noteikumos par pasākuma īstenošanu noteiktajiem nosacījumiem vai projekta iesniedzējs ir apliecinājis, ka atbilstība tiks nodrošināta līdz vienošanās par projekta īstenošanu noslēgšanai.</w:t>
            </w:r>
            <w:r w:rsidR="002A2721">
              <w:rPr>
                <w:sz w:val="22"/>
              </w:rPr>
              <w:t>”</w:t>
            </w:r>
          </w:p>
          <w:p w14:paraId="00270608" w14:textId="214C4BD4" w:rsidR="00F45F8E" w:rsidRPr="000054D9" w:rsidRDefault="00F45F8E" w:rsidP="0055417B">
            <w:pPr>
              <w:pStyle w:val="Standard"/>
              <w:jc w:val="both"/>
              <w:rPr>
                <w:sz w:val="22"/>
              </w:rPr>
            </w:pPr>
            <w:r>
              <w:rPr>
                <w:sz w:val="22"/>
              </w:rPr>
              <w:t>Anotācija papildināta ar informāciju par īpašumtiesībām uz transportlīdzekļiem.</w:t>
            </w:r>
          </w:p>
        </w:tc>
      </w:tr>
      <w:tr w:rsidR="0055417B" w:rsidRPr="000054D9" w14:paraId="7D68D4D3" w14:textId="77777777" w:rsidTr="00377FD1">
        <w:tc>
          <w:tcPr>
            <w:tcW w:w="13948" w:type="dxa"/>
            <w:gridSpan w:val="5"/>
            <w:shd w:val="clear" w:color="auto" w:fill="C5E0B3" w:themeFill="accent6" w:themeFillTint="66"/>
          </w:tcPr>
          <w:p w14:paraId="3FC1806E" w14:textId="3935BC99" w:rsidR="0055417B" w:rsidRPr="000054D9" w:rsidRDefault="0055417B" w:rsidP="0055417B">
            <w:pPr>
              <w:pStyle w:val="Standard"/>
              <w:jc w:val="both"/>
              <w:rPr>
                <w:rFonts w:cs="Times New Roman"/>
                <w:b/>
                <w:bCs/>
                <w:sz w:val="22"/>
              </w:rPr>
            </w:pPr>
            <w:r w:rsidRPr="000054D9">
              <w:rPr>
                <w:rFonts w:cs="Times New Roman"/>
                <w:b/>
                <w:bCs/>
                <w:sz w:val="22"/>
              </w:rPr>
              <w:lastRenderedPageBreak/>
              <w:t>Par kritēriju piemērošanas metodiku</w:t>
            </w:r>
          </w:p>
        </w:tc>
      </w:tr>
      <w:tr w:rsidR="0055417B" w:rsidRPr="000054D9" w14:paraId="13C2FE5E" w14:textId="77777777" w:rsidTr="0037277D">
        <w:tc>
          <w:tcPr>
            <w:tcW w:w="555" w:type="dxa"/>
          </w:tcPr>
          <w:p w14:paraId="7843802C" w14:textId="77777777" w:rsidR="0055417B" w:rsidRPr="000054D9" w:rsidRDefault="0055417B" w:rsidP="0055417B">
            <w:pPr>
              <w:pStyle w:val="Standard"/>
              <w:numPr>
                <w:ilvl w:val="0"/>
                <w:numId w:val="13"/>
              </w:numPr>
              <w:ind w:hanging="1049"/>
              <w:jc w:val="center"/>
              <w:rPr>
                <w:b/>
                <w:bCs/>
                <w:sz w:val="22"/>
              </w:rPr>
            </w:pPr>
          </w:p>
        </w:tc>
        <w:tc>
          <w:tcPr>
            <w:tcW w:w="1980" w:type="dxa"/>
            <w:vMerge w:val="restart"/>
          </w:tcPr>
          <w:p w14:paraId="50990527" w14:textId="39D64C15" w:rsidR="0055417B" w:rsidRDefault="0055417B" w:rsidP="0055417B">
            <w:pPr>
              <w:pStyle w:val="Standard"/>
              <w:jc w:val="both"/>
              <w:rPr>
                <w:b/>
                <w:bCs/>
                <w:sz w:val="22"/>
              </w:rPr>
            </w:pPr>
            <w:r>
              <w:rPr>
                <w:rFonts w:cs="Times New Roman"/>
                <w:b/>
                <w:bCs/>
                <w:sz w:val="22"/>
              </w:rPr>
              <w:t>Kritērijs Nr. 1.2.</w:t>
            </w:r>
          </w:p>
        </w:tc>
        <w:tc>
          <w:tcPr>
            <w:tcW w:w="5148" w:type="dxa"/>
          </w:tcPr>
          <w:p w14:paraId="63381982" w14:textId="77777777" w:rsidR="0055417B" w:rsidRPr="00D2118D" w:rsidRDefault="0055417B" w:rsidP="0055417B">
            <w:pPr>
              <w:pStyle w:val="Standard"/>
              <w:jc w:val="both"/>
              <w:rPr>
                <w:rFonts w:cs="Times New Roman"/>
                <w:b/>
                <w:bCs/>
                <w:sz w:val="22"/>
              </w:rPr>
            </w:pPr>
            <w:r w:rsidRPr="00D2118D">
              <w:rPr>
                <w:rFonts w:cs="Times New Roman"/>
                <w:b/>
                <w:bCs/>
                <w:sz w:val="22"/>
              </w:rPr>
              <w:t>Centrālā finanšu un līgumu aģentūra</w:t>
            </w:r>
          </w:p>
          <w:p w14:paraId="33C1842D" w14:textId="77777777" w:rsidR="0055417B" w:rsidRPr="00D2118D" w:rsidRDefault="0055417B" w:rsidP="0055417B">
            <w:pPr>
              <w:pStyle w:val="Standard"/>
              <w:jc w:val="both"/>
              <w:rPr>
                <w:b/>
                <w:bCs/>
                <w:sz w:val="22"/>
              </w:rPr>
            </w:pPr>
          </w:p>
          <w:p w14:paraId="19679C09" w14:textId="1ACF460C" w:rsidR="0055417B" w:rsidRPr="00D2118D" w:rsidRDefault="0055417B" w:rsidP="0055417B">
            <w:pPr>
              <w:pStyle w:val="Standard"/>
              <w:jc w:val="both"/>
              <w:rPr>
                <w:b/>
                <w:bCs/>
                <w:sz w:val="22"/>
              </w:rPr>
            </w:pPr>
            <w:r w:rsidRPr="00D2118D">
              <w:rPr>
                <w:rFonts w:eastAsia="Times New Roman"/>
                <w:sz w:val="22"/>
              </w:rPr>
              <w:t>Vienotajā kritērijā Nr.1.2. sadaļā “Skaidrojošais apraksts” atkāpē “</w:t>
            </w:r>
            <w:r w:rsidRPr="00D2118D">
              <w:rPr>
                <w:rFonts w:eastAsia="Times New Roman"/>
                <w:i/>
                <w:iCs/>
                <w:sz w:val="22"/>
              </w:rPr>
              <w:t>Projekta iesniegumā paredzēts, ka iznākuma rādītāji tiks sasniegti MK noteikumos paredzētajā termiņā: investīcijas jaunās vai jauninātās katastrofu monitoringa, gatavības, brīdinājuma un reaģēšanas sistēmās  attiecībā uz dabas katastrofām sasniedz 51 258 054 euro, iznākuma rādītāja starpposma vērtība sasniedz 6 763 658 euro.</w:t>
            </w:r>
            <w:r w:rsidRPr="00D2118D">
              <w:rPr>
                <w:rFonts w:eastAsia="Times New Roman"/>
                <w:sz w:val="22"/>
              </w:rPr>
              <w:t>” Dzēst teikuma daļu “</w:t>
            </w:r>
            <w:r w:rsidRPr="00D2118D">
              <w:rPr>
                <w:rFonts w:eastAsia="Times New Roman"/>
                <w:i/>
                <w:iCs/>
                <w:sz w:val="22"/>
                <w:u w:val="single"/>
              </w:rPr>
              <w:t>investīcijas jaunās vai jauninātās katastrofu monitoringa, gatavības, brīdinājuma un reaģēšanas sistēmās  attiecībā uz dabas katastrofām</w:t>
            </w:r>
            <w:r w:rsidRPr="00D2118D">
              <w:rPr>
                <w:rFonts w:eastAsia="Times New Roman"/>
                <w:sz w:val="22"/>
              </w:rPr>
              <w:t>”, jo attiecas uz 1.kārtu</w:t>
            </w:r>
          </w:p>
        </w:tc>
        <w:tc>
          <w:tcPr>
            <w:tcW w:w="2563" w:type="dxa"/>
          </w:tcPr>
          <w:p w14:paraId="36D9CA34" w14:textId="34932A36" w:rsidR="0055417B" w:rsidRPr="000054D9" w:rsidRDefault="00336BAC" w:rsidP="0055417B">
            <w:pPr>
              <w:pStyle w:val="Standard"/>
              <w:jc w:val="both"/>
              <w:rPr>
                <w:sz w:val="22"/>
              </w:rPr>
            </w:pPr>
            <w:r>
              <w:rPr>
                <w:sz w:val="22"/>
              </w:rPr>
              <w:t>Nav ņemts vērā</w:t>
            </w:r>
          </w:p>
        </w:tc>
        <w:tc>
          <w:tcPr>
            <w:tcW w:w="3702" w:type="dxa"/>
          </w:tcPr>
          <w:p w14:paraId="5C2F0AED" w14:textId="69C29DE0" w:rsidR="0055417B" w:rsidRPr="000054D9" w:rsidRDefault="00336BAC" w:rsidP="0055417B">
            <w:pPr>
              <w:pStyle w:val="Standard"/>
              <w:jc w:val="both"/>
              <w:rPr>
                <w:sz w:val="22"/>
              </w:rPr>
            </w:pPr>
            <w:r>
              <w:rPr>
                <w:sz w:val="22"/>
              </w:rPr>
              <w:t>Šī rādītāja redakcija atbilst Programmai un attiecas uz visu 2.1.3.3. pasākumu.</w:t>
            </w:r>
          </w:p>
        </w:tc>
      </w:tr>
      <w:tr w:rsidR="0055417B" w:rsidRPr="000054D9" w14:paraId="56363D81" w14:textId="77777777" w:rsidTr="0037277D">
        <w:tc>
          <w:tcPr>
            <w:tcW w:w="555" w:type="dxa"/>
          </w:tcPr>
          <w:p w14:paraId="60252268" w14:textId="77777777" w:rsidR="0055417B" w:rsidRPr="000054D9" w:rsidRDefault="0055417B" w:rsidP="0055417B">
            <w:pPr>
              <w:pStyle w:val="Standard"/>
              <w:numPr>
                <w:ilvl w:val="0"/>
                <w:numId w:val="13"/>
              </w:numPr>
              <w:ind w:hanging="1049"/>
              <w:jc w:val="center"/>
              <w:rPr>
                <w:b/>
                <w:bCs/>
                <w:sz w:val="22"/>
              </w:rPr>
            </w:pPr>
          </w:p>
        </w:tc>
        <w:tc>
          <w:tcPr>
            <w:tcW w:w="1980" w:type="dxa"/>
            <w:vMerge/>
          </w:tcPr>
          <w:p w14:paraId="0BA5E100" w14:textId="77777777" w:rsidR="0055417B" w:rsidRDefault="0055417B" w:rsidP="0055417B">
            <w:pPr>
              <w:pStyle w:val="Standard"/>
              <w:jc w:val="both"/>
              <w:rPr>
                <w:b/>
                <w:bCs/>
                <w:sz w:val="22"/>
              </w:rPr>
            </w:pPr>
          </w:p>
        </w:tc>
        <w:tc>
          <w:tcPr>
            <w:tcW w:w="5148" w:type="dxa"/>
          </w:tcPr>
          <w:p w14:paraId="015593CE" w14:textId="77777777" w:rsidR="0055417B" w:rsidRDefault="0055417B" w:rsidP="0055417B">
            <w:pPr>
              <w:pStyle w:val="Standard"/>
              <w:jc w:val="both"/>
              <w:rPr>
                <w:rFonts w:cs="Times New Roman"/>
                <w:b/>
                <w:bCs/>
                <w:sz w:val="22"/>
              </w:rPr>
            </w:pPr>
            <w:r w:rsidRPr="001E4835">
              <w:rPr>
                <w:b/>
                <w:bCs/>
                <w:sz w:val="22"/>
              </w:rPr>
              <w:t>Finanšu ministrija</w:t>
            </w:r>
          </w:p>
          <w:p w14:paraId="411423E1" w14:textId="77777777" w:rsidR="0055417B" w:rsidRPr="001E4835" w:rsidRDefault="0055417B" w:rsidP="0055417B">
            <w:pPr>
              <w:pStyle w:val="Standard"/>
              <w:jc w:val="both"/>
              <w:rPr>
                <w:b/>
                <w:bCs/>
                <w:sz w:val="22"/>
              </w:rPr>
            </w:pPr>
          </w:p>
          <w:p w14:paraId="75B58215" w14:textId="453F950A" w:rsidR="0055417B" w:rsidRPr="0055417B" w:rsidRDefault="0055417B" w:rsidP="0055417B">
            <w:pPr>
              <w:pStyle w:val="Standard"/>
              <w:jc w:val="both"/>
              <w:rPr>
                <w:sz w:val="22"/>
              </w:rPr>
            </w:pPr>
            <w:r w:rsidRPr="001E4835">
              <w:rPr>
                <w:sz w:val="22"/>
              </w:rPr>
              <w:t xml:space="preserve">Lūdzam </w:t>
            </w:r>
            <w:r>
              <w:rPr>
                <w:sz w:val="22"/>
              </w:rPr>
              <w:t>papildināt</w:t>
            </w:r>
            <w:r w:rsidRPr="001E4835">
              <w:rPr>
                <w:sz w:val="22"/>
              </w:rPr>
              <w:t xml:space="preserve"> projektu iesniegumu vērtēšanas kritēriju piemērošanas metodikas 1.2. punkta skaidrojumu  ar iznākuma rādītāja starpposma vērtību</w:t>
            </w:r>
            <w:r>
              <w:rPr>
                <w:sz w:val="22"/>
              </w:rPr>
              <w:t>.</w:t>
            </w:r>
          </w:p>
        </w:tc>
        <w:tc>
          <w:tcPr>
            <w:tcW w:w="2563" w:type="dxa"/>
          </w:tcPr>
          <w:p w14:paraId="4F4C4B9A" w14:textId="44DF5DA6" w:rsidR="0055417B" w:rsidRPr="000054D9" w:rsidRDefault="00336BAC" w:rsidP="0055417B">
            <w:pPr>
              <w:pStyle w:val="Standard"/>
              <w:jc w:val="both"/>
              <w:rPr>
                <w:sz w:val="22"/>
              </w:rPr>
            </w:pPr>
            <w:r>
              <w:rPr>
                <w:sz w:val="22"/>
              </w:rPr>
              <w:t>Ņemts vērā</w:t>
            </w:r>
          </w:p>
        </w:tc>
        <w:tc>
          <w:tcPr>
            <w:tcW w:w="3702" w:type="dxa"/>
          </w:tcPr>
          <w:p w14:paraId="3CFD230B" w14:textId="52F9D1F7" w:rsidR="0055417B" w:rsidRPr="000054D9" w:rsidRDefault="00336BAC" w:rsidP="0055417B">
            <w:pPr>
              <w:pStyle w:val="Standard"/>
              <w:jc w:val="both"/>
              <w:rPr>
                <w:sz w:val="22"/>
              </w:rPr>
            </w:pPr>
            <w:r>
              <w:rPr>
                <w:sz w:val="22"/>
              </w:rPr>
              <w:t>1.2. kritērijs papildināts ar iznākuma rādītāja starpposma vērtību: “</w:t>
            </w:r>
            <w:r w:rsidRPr="003C79CC">
              <w:t>iznākuma rādītāja starpposma vērtība sasniedz </w:t>
            </w:r>
            <w:r w:rsidRPr="00084B2E">
              <w:rPr>
                <w:highlight w:val="yellow"/>
              </w:rPr>
              <w:t>735</w:t>
            </w:r>
            <w:r>
              <w:rPr>
                <w:highlight w:val="yellow"/>
              </w:rPr>
              <w:t> </w:t>
            </w:r>
            <w:r w:rsidRPr="00084B2E">
              <w:rPr>
                <w:highlight w:val="yellow"/>
              </w:rPr>
              <w:t>278</w:t>
            </w:r>
            <w:r>
              <w:rPr>
                <w:highlight w:val="yellow"/>
              </w:rPr>
              <w:t xml:space="preserve"> </w:t>
            </w:r>
            <w:r w:rsidRPr="006F128A">
              <w:rPr>
                <w:highlight w:val="yellow"/>
              </w:rPr>
              <w:t>euro</w:t>
            </w:r>
            <w:r w:rsidRPr="003C79CC">
              <w:t>.</w:t>
            </w:r>
            <w:r>
              <w:rPr>
                <w:sz w:val="22"/>
              </w:rPr>
              <w:t>”</w:t>
            </w:r>
          </w:p>
        </w:tc>
      </w:tr>
      <w:tr w:rsidR="0055417B" w:rsidRPr="000054D9" w14:paraId="1089158F" w14:textId="77777777" w:rsidTr="0037277D">
        <w:tc>
          <w:tcPr>
            <w:tcW w:w="555" w:type="dxa"/>
          </w:tcPr>
          <w:p w14:paraId="28D3032F" w14:textId="77777777" w:rsidR="0055417B" w:rsidRPr="000054D9" w:rsidRDefault="0055417B" w:rsidP="0055417B">
            <w:pPr>
              <w:pStyle w:val="Standard"/>
              <w:numPr>
                <w:ilvl w:val="0"/>
                <w:numId w:val="13"/>
              </w:numPr>
              <w:ind w:hanging="1049"/>
              <w:jc w:val="center"/>
              <w:rPr>
                <w:b/>
                <w:bCs/>
                <w:sz w:val="22"/>
              </w:rPr>
            </w:pPr>
          </w:p>
        </w:tc>
        <w:tc>
          <w:tcPr>
            <w:tcW w:w="1980" w:type="dxa"/>
          </w:tcPr>
          <w:p w14:paraId="422DE07D" w14:textId="65A8C815" w:rsidR="0055417B" w:rsidRDefault="0055417B" w:rsidP="0055417B">
            <w:pPr>
              <w:pStyle w:val="Standard"/>
              <w:jc w:val="both"/>
              <w:rPr>
                <w:b/>
                <w:bCs/>
                <w:sz w:val="22"/>
              </w:rPr>
            </w:pPr>
            <w:r>
              <w:rPr>
                <w:rFonts w:cs="Times New Roman"/>
                <w:b/>
                <w:bCs/>
                <w:sz w:val="22"/>
              </w:rPr>
              <w:t>Kritērijs Nr. 2.1.</w:t>
            </w:r>
          </w:p>
        </w:tc>
        <w:tc>
          <w:tcPr>
            <w:tcW w:w="5148" w:type="dxa"/>
          </w:tcPr>
          <w:p w14:paraId="7A377F0B" w14:textId="77777777" w:rsidR="0055417B" w:rsidRPr="00D2118D" w:rsidRDefault="0055417B" w:rsidP="0055417B">
            <w:pPr>
              <w:pStyle w:val="Standard"/>
              <w:jc w:val="both"/>
              <w:rPr>
                <w:rFonts w:cs="Times New Roman"/>
                <w:b/>
                <w:bCs/>
                <w:sz w:val="22"/>
              </w:rPr>
            </w:pPr>
            <w:r w:rsidRPr="00D2118D">
              <w:rPr>
                <w:rFonts w:cs="Times New Roman"/>
                <w:b/>
                <w:bCs/>
                <w:sz w:val="22"/>
              </w:rPr>
              <w:t>Centrālā finanšu un līgumu aģentūra</w:t>
            </w:r>
          </w:p>
          <w:p w14:paraId="6703BAF0" w14:textId="77777777" w:rsidR="0055417B" w:rsidRPr="00D2118D" w:rsidRDefault="0055417B" w:rsidP="0055417B">
            <w:pPr>
              <w:pStyle w:val="Standard"/>
              <w:jc w:val="both"/>
              <w:rPr>
                <w:sz w:val="22"/>
              </w:rPr>
            </w:pPr>
          </w:p>
          <w:p w14:paraId="750A0103" w14:textId="5C22698A" w:rsidR="0055417B" w:rsidRPr="00D2118D" w:rsidRDefault="0055417B" w:rsidP="0055417B">
            <w:pPr>
              <w:pStyle w:val="Standard"/>
              <w:jc w:val="both"/>
              <w:rPr>
                <w:sz w:val="22"/>
              </w:rPr>
            </w:pPr>
            <w:r w:rsidRPr="00D2118D">
              <w:rPr>
                <w:sz w:val="22"/>
              </w:rPr>
              <w:t>Kritēriju vērtēšanas metodikas 2.1.specifiskajā atbilstības kritērija piemērošanas skaidrojumā papildināt ar norādēm (piemēram, Interneta vietne) par to, kur pieejama informācija par Valsts civilās aizsardzības plānu, kā arī Eiropas Komisijas Civilās aizsardzības finanšu instrumenta projektu pētījumiem.</w:t>
            </w:r>
          </w:p>
        </w:tc>
        <w:tc>
          <w:tcPr>
            <w:tcW w:w="2563" w:type="dxa"/>
          </w:tcPr>
          <w:p w14:paraId="1BD5B59F" w14:textId="4B5F0272" w:rsidR="0055417B" w:rsidRPr="000054D9" w:rsidRDefault="00B50065" w:rsidP="0055417B">
            <w:pPr>
              <w:pStyle w:val="Standard"/>
              <w:jc w:val="both"/>
              <w:rPr>
                <w:sz w:val="22"/>
              </w:rPr>
            </w:pPr>
            <w:r>
              <w:rPr>
                <w:sz w:val="22"/>
              </w:rPr>
              <w:t>Ņemts vērā</w:t>
            </w:r>
          </w:p>
        </w:tc>
        <w:tc>
          <w:tcPr>
            <w:tcW w:w="3702" w:type="dxa"/>
          </w:tcPr>
          <w:p w14:paraId="70A54D08" w14:textId="7FDB319A" w:rsidR="0055417B" w:rsidRPr="000054D9" w:rsidRDefault="00B50065" w:rsidP="0055417B">
            <w:pPr>
              <w:pStyle w:val="Standard"/>
              <w:jc w:val="both"/>
              <w:rPr>
                <w:sz w:val="22"/>
              </w:rPr>
            </w:pPr>
            <w:r>
              <w:rPr>
                <w:sz w:val="22"/>
              </w:rPr>
              <w:t xml:space="preserve">2.1. kritērija skaidrojums papildināts ar atsaucēm uz Valsts civilās aizsardzības plānu </w:t>
            </w:r>
            <w:proofErr w:type="gramStart"/>
            <w:r>
              <w:rPr>
                <w:sz w:val="22"/>
              </w:rPr>
              <w:t>(</w:t>
            </w:r>
            <w:proofErr w:type="gramEnd"/>
            <w:r>
              <w:rPr>
                <w:sz w:val="22"/>
              </w:rPr>
              <w:fldChar w:fldCharType="begin"/>
            </w:r>
            <w:r>
              <w:rPr>
                <w:sz w:val="22"/>
              </w:rPr>
              <w:instrText xml:space="preserve"> HYPERLINK "</w:instrText>
            </w:r>
            <w:r w:rsidRPr="00B50065">
              <w:rPr>
                <w:sz w:val="22"/>
              </w:rPr>
              <w:instrText>https://likumi.lv/ta/id/317006-par-valsts-civilas-aizsardzibas-planu</w:instrText>
            </w:r>
            <w:r>
              <w:rPr>
                <w:sz w:val="22"/>
              </w:rPr>
              <w:instrText xml:space="preserve">" </w:instrText>
            </w:r>
            <w:r>
              <w:rPr>
                <w:sz w:val="22"/>
              </w:rPr>
              <w:fldChar w:fldCharType="separate"/>
            </w:r>
            <w:r w:rsidRPr="007A52D2">
              <w:rPr>
                <w:rStyle w:val="Hyperlink"/>
                <w:sz w:val="22"/>
              </w:rPr>
              <w:t>https://likumi.lv/ta/id/317006-par-valsts-civilas-aizsardzibas-planu</w:t>
            </w:r>
            <w:r>
              <w:rPr>
                <w:sz w:val="22"/>
              </w:rPr>
              <w:fldChar w:fldCharType="end"/>
            </w:r>
            <w:r>
              <w:rPr>
                <w:sz w:val="22"/>
              </w:rPr>
              <w:t xml:space="preserve">) un </w:t>
            </w:r>
            <w:r w:rsidRPr="00B50065">
              <w:rPr>
                <w:sz w:val="22"/>
              </w:rPr>
              <w:t>Eiropas Komisijas Civilās aizsardzības finanšu instrumenta projektu</w:t>
            </w:r>
            <w:r>
              <w:rPr>
                <w:sz w:val="22"/>
              </w:rPr>
              <w:t xml:space="preserve"> </w:t>
            </w:r>
            <w:proofErr w:type="gramStart"/>
            <w:r>
              <w:rPr>
                <w:sz w:val="22"/>
              </w:rPr>
              <w:t>[</w:t>
            </w:r>
            <w:proofErr w:type="gramEnd"/>
            <w:r w:rsidRPr="00B50065">
              <w:rPr>
                <w:sz w:val="22"/>
              </w:rPr>
              <w:t>https://www.vugd.gov.lv/lv/projekts/1-prieksizpete-par-labakas-prakses-veicinasanu-un-kapacitates-palielinasanu-valsts-ugunsdzesibas-un-glabsanas-dienesta-echosub2020track1831688</w:t>
            </w:r>
            <w:r>
              <w:rPr>
                <w:sz w:val="22"/>
              </w:rPr>
              <w:t xml:space="preserve">] </w:t>
            </w:r>
          </w:p>
        </w:tc>
      </w:tr>
      <w:tr w:rsidR="0055417B" w:rsidRPr="000054D9" w14:paraId="39AC4F61" w14:textId="77777777" w:rsidTr="0037277D">
        <w:tc>
          <w:tcPr>
            <w:tcW w:w="555" w:type="dxa"/>
          </w:tcPr>
          <w:p w14:paraId="594E3FAD" w14:textId="77777777" w:rsidR="0055417B" w:rsidRPr="000054D9" w:rsidRDefault="0055417B" w:rsidP="0055417B">
            <w:pPr>
              <w:pStyle w:val="Standard"/>
              <w:numPr>
                <w:ilvl w:val="0"/>
                <w:numId w:val="13"/>
              </w:numPr>
              <w:ind w:hanging="1049"/>
              <w:jc w:val="center"/>
              <w:rPr>
                <w:rFonts w:cs="Times New Roman"/>
                <w:b/>
                <w:bCs/>
                <w:sz w:val="22"/>
              </w:rPr>
            </w:pPr>
          </w:p>
        </w:tc>
        <w:tc>
          <w:tcPr>
            <w:tcW w:w="1980" w:type="dxa"/>
          </w:tcPr>
          <w:p w14:paraId="29EDC44A" w14:textId="15A288A9" w:rsidR="0055417B" w:rsidRPr="000054D9" w:rsidRDefault="0055417B" w:rsidP="0055417B">
            <w:pPr>
              <w:pStyle w:val="Standard"/>
              <w:jc w:val="both"/>
              <w:rPr>
                <w:rFonts w:cs="Times New Roman"/>
                <w:b/>
                <w:bCs/>
                <w:sz w:val="22"/>
              </w:rPr>
            </w:pPr>
            <w:r>
              <w:rPr>
                <w:rFonts w:cs="Times New Roman"/>
                <w:b/>
                <w:bCs/>
                <w:sz w:val="22"/>
              </w:rPr>
              <w:t>Kritērijs Nr. 2.3.</w:t>
            </w:r>
          </w:p>
        </w:tc>
        <w:tc>
          <w:tcPr>
            <w:tcW w:w="5148" w:type="dxa"/>
          </w:tcPr>
          <w:p w14:paraId="435C2BA2" w14:textId="77777777" w:rsidR="0055417B" w:rsidRPr="00E02C04" w:rsidRDefault="0055417B" w:rsidP="0055417B">
            <w:pPr>
              <w:pStyle w:val="Standard"/>
              <w:jc w:val="both"/>
              <w:rPr>
                <w:rFonts w:cs="Times New Roman"/>
                <w:b/>
                <w:bCs/>
                <w:sz w:val="22"/>
              </w:rPr>
            </w:pPr>
            <w:r w:rsidRPr="00E02C04">
              <w:rPr>
                <w:rFonts w:cs="Times New Roman"/>
                <w:b/>
                <w:bCs/>
                <w:sz w:val="22"/>
              </w:rPr>
              <w:t>Labklājības ministrija (HP)</w:t>
            </w:r>
          </w:p>
          <w:p w14:paraId="00A8A225" w14:textId="77777777" w:rsidR="0055417B" w:rsidRDefault="0055417B" w:rsidP="0055417B">
            <w:pPr>
              <w:pStyle w:val="Standard"/>
              <w:jc w:val="both"/>
              <w:rPr>
                <w:rFonts w:cs="Times New Roman"/>
                <w:sz w:val="22"/>
              </w:rPr>
            </w:pPr>
          </w:p>
          <w:p w14:paraId="219008B3" w14:textId="317F2C6E" w:rsidR="0055417B" w:rsidRPr="000054D9" w:rsidRDefault="0055417B" w:rsidP="0055417B">
            <w:pPr>
              <w:pStyle w:val="Standard"/>
              <w:jc w:val="both"/>
              <w:rPr>
                <w:rFonts w:cs="Times New Roman"/>
                <w:sz w:val="22"/>
              </w:rPr>
            </w:pPr>
            <w:r w:rsidRPr="00E02C04">
              <w:rPr>
                <w:sz w:val="22"/>
              </w:rPr>
              <w:t>Kritērija vērtēšanas metodikas aprakstā lūdzam rast iespēju izvērtēt pārliecināties par specifisko darbību atbilstību projekta saturam, proti, MKN projektā nav identificējamas atbalstāmās darbības, kuru ietvaros būtu iespējams īstenot minētās  specifisko darbības. Piemēram, vai projekta ietvaros ir plānotas a) informācijas sistēmu izstrādes; b) konkurētspējas paaugstināšanas, profesionālās apmācības, pārkvalifikācijas, kvalifikācijas paaugstināšanas, neformālās izglītības, projekta īstenošanas personāla darbības; c) tiks īstenoti civilās aizsardzības pasākumi. No MK noteikumu projekta varam secināt, ka projekta darbības ir vērstas uz būvniecību, līdz vairāk piemērotas būtu specifiskās darbības, kas tiek piemērotas  infrastruktūras attīstības projektiem. Lūdzu skatīt specifisko darbību priekšlikumus pielikumā.</w:t>
            </w:r>
          </w:p>
        </w:tc>
        <w:tc>
          <w:tcPr>
            <w:tcW w:w="2563" w:type="dxa"/>
          </w:tcPr>
          <w:p w14:paraId="2DAA8F40" w14:textId="138A1BD4" w:rsidR="0055417B" w:rsidRPr="000054D9" w:rsidRDefault="00B50065" w:rsidP="0055417B">
            <w:pPr>
              <w:pStyle w:val="Standard"/>
              <w:jc w:val="both"/>
              <w:rPr>
                <w:rFonts w:cs="Times New Roman"/>
                <w:sz w:val="22"/>
              </w:rPr>
            </w:pPr>
            <w:r>
              <w:rPr>
                <w:rFonts w:cs="Times New Roman"/>
                <w:sz w:val="22"/>
              </w:rPr>
              <w:t xml:space="preserve">Ņemts vērā </w:t>
            </w:r>
          </w:p>
        </w:tc>
        <w:tc>
          <w:tcPr>
            <w:tcW w:w="3702" w:type="dxa"/>
          </w:tcPr>
          <w:p w14:paraId="03464406" w14:textId="4AB4BF6C" w:rsidR="0055417B" w:rsidRPr="000054D9" w:rsidRDefault="005B4D66" w:rsidP="0055417B">
            <w:pPr>
              <w:pStyle w:val="Standard"/>
              <w:jc w:val="both"/>
              <w:rPr>
                <w:rFonts w:cs="Times New Roman"/>
                <w:sz w:val="22"/>
              </w:rPr>
            </w:pPr>
            <w:r>
              <w:rPr>
                <w:rFonts w:cs="Times New Roman"/>
                <w:sz w:val="22"/>
              </w:rPr>
              <w:t>Precizēts atbilstoši LM piedāvātajai redakcijai.</w:t>
            </w:r>
          </w:p>
        </w:tc>
      </w:tr>
      <w:tr w:rsidR="0055417B" w:rsidRPr="000054D9" w14:paraId="55CCD9C1" w14:textId="77777777" w:rsidTr="0037277D">
        <w:tc>
          <w:tcPr>
            <w:tcW w:w="555" w:type="dxa"/>
          </w:tcPr>
          <w:p w14:paraId="3F705F7A" w14:textId="77777777" w:rsidR="0055417B" w:rsidRPr="000054D9" w:rsidRDefault="0055417B" w:rsidP="0055417B">
            <w:pPr>
              <w:pStyle w:val="Standard"/>
              <w:numPr>
                <w:ilvl w:val="0"/>
                <w:numId w:val="13"/>
              </w:numPr>
              <w:ind w:hanging="1049"/>
              <w:jc w:val="center"/>
              <w:rPr>
                <w:rFonts w:cs="Times New Roman"/>
                <w:b/>
                <w:bCs/>
                <w:sz w:val="22"/>
              </w:rPr>
            </w:pPr>
          </w:p>
        </w:tc>
        <w:tc>
          <w:tcPr>
            <w:tcW w:w="1980" w:type="dxa"/>
          </w:tcPr>
          <w:p w14:paraId="550BB3B2" w14:textId="53EE915D" w:rsidR="0055417B" w:rsidRPr="000054D9" w:rsidRDefault="0055417B" w:rsidP="0055417B">
            <w:pPr>
              <w:pStyle w:val="Standard"/>
              <w:jc w:val="both"/>
              <w:rPr>
                <w:rFonts w:cs="Times New Roman"/>
                <w:b/>
                <w:bCs/>
                <w:sz w:val="22"/>
              </w:rPr>
            </w:pPr>
            <w:r>
              <w:rPr>
                <w:rFonts w:cs="Times New Roman"/>
                <w:b/>
                <w:bCs/>
                <w:sz w:val="22"/>
              </w:rPr>
              <w:t>Vispārīgi</w:t>
            </w:r>
          </w:p>
        </w:tc>
        <w:tc>
          <w:tcPr>
            <w:tcW w:w="5148" w:type="dxa"/>
          </w:tcPr>
          <w:p w14:paraId="028543A7" w14:textId="77777777" w:rsidR="0055417B" w:rsidRPr="00D2118D" w:rsidRDefault="0055417B" w:rsidP="0055417B">
            <w:pPr>
              <w:pStyle w:val="Standard"/>
              <w:jc w:val="both"/>
              <w:rPr>
                <w:rFonts w:cs="Times New Roman"/>
                <w:b/>
                <w:bCs/>
                <w:sz w:val="22"/>
              </w:rPr>
            </w:pPr>
            <w:r w:rsidRPr="00D2118D">
              <w:rPr>
                <w:rFonts w:cs="Times New Roman"/>
                <w:b/>
                <w:bCs/>
                <w:sz w:val="22"/>
              </w:rPr>
              <w:t>Centrālā finanšu un līgumu aģentūra</w:t>
            </w:r>
          </w:p>
          <w:p w14:paraId="6D6CD3BD" w14:textId="77777777" w:rsidR="0055417B" w:rsidRDefault="0055417B" w:rsidP="0055417B">
            <w:pPr>
              <w:pStyle w:val="Standard"/>
              <w:jc w:val="both"/>
              <w:rPr>
                <w:rFonts w:cs="Times New Roman"/>
                <w:sz w:val="22"/>
              </w:rPr>
            </w:pPr>
          </w:p>
          <w:p w14:paraId="3CF98E7A" w14:textId="2BB86B5D" w:rsidR="0055417B" w:rsidRPr="000054D9" w:rsidRDefault="0055417B" w:rsidP="0055417B">
            <w:pPr>
              <w:pStyle w:val="Standard"/>
              <w:jc w:val="both"/>
              <w:rPr>
                <w:rFonts w:cs="Times New Roman"/>
                <w:sz w:val="22"/>
              </w:rPr>
            </w:pPr>
            <w:r w:rsidRPr="00D2118D">
              <w:rPr>
                <w:rFonts w:cs="Times New Roman"/>
                <w:sz w:val="22"/>
              </w:rPr>
              <w:lastRenderedPageBreak/>
              <w:t>Kritēriju vērtēšanas metodikā kritēriju redakciju  norādīt saskaņā ar 3.1.metodiku</w:t>
            </w:r>
          </w:p>
        </w:tc>
        <w:tc>
          <w:tcPr>
            <w:tcW w:w="2563" w:type="dxa"/>
          </w:tcPr>
          <w:p w14:paraId="4CDBBDDA" w14:textId="14EEEF3C" w:rsidR="0055417B" w:rsidRPr="000054D9" w:rsidRDefault="00835101" w:rsidP="0055417B">
            <w:pPr>
              <w:pStyle w:val="Standard"/>
              <w:jc w:val="both"/>
              <w:rPr>
                <w:rFonts w:cs="Times New Roman"/>
                <w:sz w:val="22"/>
              </w:rPr>
            </w:pPr>
            <w:r>
              <w:rPr>
                <w:rFonts w:cs="Times New Roman"/>
                <w:sz w:val="22"/>
              </w:rPr>
              <w:lastRenderedPageBreak/>
              <w:t>Ņemts vērā</w:t>
            </w:r>
          </w:p>
        </w:tc>
        <w:tc>
          <w:tcPr>
            <w:tcW w:w="3702" w:type="dxa"/>
          </w:tcPr>
          <w:p w14:paraId="250F44BD" w14:textId="1A38EE76" w:rsidR="0055417B" w:rsidRPr="000054D9" w:rsidRDefault="00835101" w:rsidP="0055417B">
            <w:pPr>
              <w:pStyle w:val="Standard"/>
              <w:jc w:val="both"/>
              <w:rPr>
                <w:rFonts w:cs="Times New Roman"/>
                <w:sz w:val="22"/>
              </w:rPr>
            </w:pPr>
            <w:r>
              <w:rPr>
                <w:rFonts w:cs="Times New Roman"/>
                <w:sz w:val="22"/>
              </w:rPr>
              <w:t>Lūdzu skatīt izziņas 3. punktu.</w:t>
            </w:r>
          </w:p>
        </w:tc>
      </w:tr>
      <w:tr w:rsidR="0055417B" w:rsidRPr="000054D9" w14:paraId="7D65198E" w14:textId="77777777" w:rsidTr="00414C68">
        <w:tc>
          <w:tcPr>
            <w:tcW w:w="13948" w:type="dxa"/>
            <w:gridSpan w:val="5"/>
            <w:shd w:val="clear" w:color="auto" w:fill="C5E0B3" w:themeFill="accent6" w:themeFillTint="66"/>
          </w:tcPr>
          <w:p w14:paraId="1C3D7959" w14:textId="321330CE" w:rsidR="0055417B" w:rsidRPr="000054D9" w:rsidRDefault="0055417B" w:rsidP="0055417B">
            <w:pPr>
              <w:pStyle w:val="Standard"/>
              <w:jc w:val="both"/>
              <w:rPr>
                <w:sz w:val="22"/>
              </w:rPr>
            </w:pPr>
            <w:r w:rsidRPr="000054D9">
              <w:rPr>
                <w:rFonts w:cs="Times New Roman"/>
                <w:b/>
                <w:bCs/>
                <w:sz w:val="22"/>
              </w:rPr>
              <w:t xml:space="preserve">Par </w:t>
            </w:r>
            <w:r>
              <w:rPr>
                <w:rFonts w:cs="Times New Roman"/>
                <w:b/>
                <w:bCs/>
                <w:sz w:val="22"/>
              </w:rPr>
              <w:t>Kopsavilkumu</w:t>
            </w:r>
          </w:p>
        </w:tc>
      </w:tr>
      <w:tr w:rsidR="0055417B" w:rsidRPr="000054D9" w14:paraId="4FA337F8" w14:textId="77777777" w:rsidTr="0037277D">
        <w:tc>
          <w:tcPr>
            <w:tcW w:w="555" w:type="dxa"/>
          </w:tcPr>
          <w:p w14:paraId="113798A5" w14:textId="77777777" w:rsidR="0055417B" w:rsidRPr="000054D9" w:rsidRDefault="0055417B" w:rsidP="0055417B">
            <w:pPr>
              <w:pStyle w:val="Standard"/>
              <w:numPr>
                <w:ilvl w:val="0"/>
                <w:numId w:val="13"/>
              </w:numPr>
              <w:ind w:hanging="1049"/>
              <w:jc w:val="center"/>
              <w:rPr>
                <w:b/>
                <w:bCs/>
                <w:sz w:val="22"/>
              </w:rPr>
            </w:pPr>
          </w:p>
        </w:tc>
        <w:tc>
          <w:tcPr>
            <w:tcW w:w="1980" w:type="dxa"/>
          </w:tcPr>
          <w:p w14:paraId="1CE7AB1D" w14:textId="680DAA97" w:rsidR="0055417B" w:rsidRDefault="0055417B" w:rsidP="0055417B">
            <w:pPr>
              <w:pStyle w:val="Standard"/>
              <w:jc w:val="both"/>
              <w:rPr>
                <w:b/>
                <w:bCs/>
                <w:sz w:val="22"/>
              </w:rPr>
            </w:pPr>
            <w:r>
              <w:rPr>
                <w:b/>
                <w:bCs/>
                <w:sz w:val="22"/>
              </w:rPr>
              <w:t xml:space="preserve">Vispārīgi </w:t>
            </w:r>
          </w:p>
        </w:tc>
        <w:tc>
          <w:tcPr>
            <w:tcW w:w="5148" w:type="dxa"/>
          </w:tcPr>
          <w:p w14:paraId="37BC5701" w14:textId="77777777" w:rsidR="0055417B" w:rsidRDefault="0055417B" w:rsidP="0055417B">
            <w:pPr>
              <w:pStyle w:val="Standard"/>
              <w:jc w:val="both"/>
              <w:rPr>
                <w:rFonts w:cs="Times New Roman"/>
                <w:b/>
                <w:bCs/>
                <w:sz w:val="22"/>
              </w:rPr>
            </w:pPr>
            <w:r w:rsidRPr="001E4835">
              <w:rPr>
                <w:b/>
                <w:bCs/>
                <w:sz w:val="22"/>
              </w:rPr>
              <w:t>Finanšu ministrija</w:t>
            </w:r>
          </w:p>
          <w:p w14:paraId="2AC73801" w14:textId="77777777" w:rsidR="0055417B" w:rsidRDefault="0055417B" w:rsidP="0055417B">
            <w:pPr>
              <w:pStyle w:val="Standard"/>
              <w:jc w:val="both"/>
              <w:rPr>
                <w:sz w:val="22"/>
              </w:rPr>
            </w:pPr>
          </w:p>
          <w:p w14:paraId="7E9C41B6" w14:textId="281956BF" w:rsidR="0055417B" w:rsidRPr="0055417B" w:rsidRDefault="0055417B" w:rsidP="0055417B">
            <w:pPr>
              <w:pStyle w:val="Standard"/>
              <w:jc w:val="both"/>
              <w:rPr>
                <w:sz w:val="22"/>
              </w:rPr>
            </w:pPr>
            <w:r w:rsidRPr="001E4835">
              <w:rPr>
                <w:sz w:val="22"/>
              </w:rPr>
              <w:t xml:space="preserve">Lūdzam </w:t>
            </w:r>
            <w:r>
              <w:rPr>
                <w:sz w:val="22"/>
              </w:rPr>
              <w:t>papildināt</w:t>
            </w:r>
            <w:r w:rsidRPr="001E4835">
              <w:rPr>
                <w:sz w:val="22"/>
              </w:rPr>
              <w:t xml:space="preserve"> </w:t>
            </w:r>
            <w:r>
              <w:rPr>
                <w:sz w:val="22"/>
              </w:rPr>
              <w:t>kopsavilkuma dokumentu</w:t>
            </w:r>
            <w:r w:rsidRPr="001E4835">
              <w:rPr>
                <w:sz w:val="22"/>
              </w:rPr>
              <w:t xml:space="preserve">  ar iznākuma rādītāja starpposma vērtību</w:t>
            </w:r>
            <w:r>
              <w:rPr>
                <w:sz w:val="22"/>
              </w:rPr>
              <w:t>, kā arī norādīt korektu sasniedzamo vērtību atbilstoši ES fondu kohēzijas politikas programmas 2021.-2027.gadam rādītāju uzskaites failā (</w:t>
            </w:r>
            <w:r w:rsidRPr="00F6541D">
              <w:rPr>
                <w:sz w:val="22"/>
                <w:highlight w:val="yellow"/>
              </w:rPr>
              <w:t>rādītāju Excel fails</w:t>
            </w:r>
            <w:r>
              <w:rPr>
                <w:sz w:val="22"/>
              </w:rPr>
              <w:t>) norādītajai informācijai</w:t>
            </w:r>
            <w:r w:rsidRPr="001E4835">
              <w:rPr>
                <w:sz w:val="22"/>
              </w:rPr>
              <w:t>.</w:t>
            </w:r>
          </w:p>
        </w:tc>
        <w:tc>
          <w:tcPr>
            <w:tcW w:w="2563" w:type="dxa"/>
          </w:tcPr>
          <w:p w14:paraId="4B91DC93" w14:textId="25312611" w:rsidR="0055417B" w:rsidRPr="000054D9" w:rsidRDefault="00F6541D" w:rsidP="0055417B">
            <w:pPr>
              <w:pStyle w:val="Standard"/>
              <w:jc w:val="both"/>
              <w:rPr>
                <w:sz w:val="22"/>
              </w:rPr>
            </w:pPr>
            <w:r>
              <w:rPr>
                <w:sz w:val="22"/>
              </w:rPr>
              <w:t>Ņemts vērā un sniegts skaidrojums</w:t>
            </w:r>
          </w:p>
        </w:tc>
        <w:tc>
          <w:tcPr>
            <w:tcW w:w="3702" w:type="dxa"/>
          </w:tcPr>
          <w:p w14:paraId="5D52F0BF" w14:textId="77777777" w:rsidR="00F6541D" w:rsidRDefault="00F6541D" w:rsidP="0055417B">
            <w:pPr>
              <w:pStyle w:val="Standard"/>
              <w:jc w:val="both"/>
              <w:rPr>
                <w:sz w:val="22"/>
              </w:rPr>
            </w:pPr>
            <w:r>
              <w:rPr>
                <w:sz w:val="22"/>
              </w:rPr>
              <w:t>Kopsavilkuma dokuments papildināts ar sasniedzamo vērtību: “</w:t>
            </w:r>
            <w:r>
              <w:t xml:space="preserve">iznākuma rādītāja starpposma vērtība 2024. gada </w:t>
            </w:r>
            <w:proofErr w:type="gramStart"/>
            <w:r>
              <w:t>31.decembrī</w:t>
            </w:r>
            <w:proofErr w:type="gramEnd"/>
            <w:r>
              <w:t xml:space="preserve"> sasniedz </w:t>
            </w:r>
            <w:r w:rsidRPr="005236D7">
              <w:t xml:space="preserve">735 278 </w:t>
            </w:r>
            <w:r>
              <w:t xml:space="preserve"> euro</w:t>
            </w:r>
            <w:r>
              <w:rPr>
                <w:sz w:val="22"/>
              </w:rPr>
              <w:t xml:space="preserve">”. </w:t>
            </w:r>
          </w:p>
          <w:p w14:paraId="35C7DE2D" w14:textId="5E9A4B22" w:rsidR="0055417B" w:rsidRPr="000054D9" w:rsidRDefault="00F6541D" w:rsidP="0055417B">
            <w:pPr>
              <w:pStyle w:val="Standard"/>
              <w:jc w:val="both"/>
              <w:rPr>
                <w:sz w:val="22"/>
              </w:rPr>
            </w:pPr>
            <w:r>
              <w:rPr>
                <w:sz w:val="22"/>
              </w:rPr>
              <w:t>Skaidrojam, ka sasniedzamā vērtība noradīta atbildoši 3. kārtas projektu kopsummai, nevis visam 2.1.3.3. pasākumam, kurš sastāv no 5 kārtām.</w:t>
            </w:r>
          </w:p>
        </w:tc>
      </w:tr>
      <w:tr w:rsidR="0055417B" w:rsidRPr="000054D9" w14:paraId="546F4C38" w14:textId="77777777" w:rsidTr="0037277D">
        <w:tc>
          <w:tcPr>
            <w:tcW w:w="555" w:type="dxa"/>
          </w:tcPr>
          <w:p w14:paraId="49A96CF2" w14:textId="77777777" w:rsidR="0055417B" w:rsidRPr="000054D9" w:rsidRDefault="0055417B" w:rsidP="0055417B">
            <w:pPr>
              <w:pStyle w:val="Standard"/>
              <w:numPr>
                <w:ilvl w:val="0"/>
                <w:numId w:val="13"/>
              </w:numPr>
              <w:ind w:hanging="1049"/>
              <w:jc w:val="center"/>
              <w:rPr>
                <w:b/>
                <w:bCs/>
                <w:sz w:val="22"/>
              </w:rPr>
            </w:pPr>
          </w:p>
        </w:tc>
        <w:tc>
          <w:tcPr>
            <w:tcW w:w="1980" w:type="dxa"/>
          </w:tcPr>
          <w:p w14:paraId="03C55410" w14:textId="20C62713" w:rsidR="0055417B" w:rsidRDefault="0055417B" w:rsidP="0055417B">
            <w:pPr>
              <w:pStyle w:val="Standard"/>
              <w:jc w:val="both"/>
              <w:rPr>
                <w:b/>
                <w:bCs/>
                <w:sz w:val="22"/>
              </w:rPr>
            </w:pPr>
            <w:r>
              <w:rPr>
                <w:b/>
                <w:bCs/>
                <w:sz w:val="22"/>
              </w:rPr>
              <w:t>5. punkts</w:t>
            </w:r>
          </w:p>
        </w:tc>
        <w:tc>
          <w:tcPr>
            <w:tcW w:w="5148" w:type="dxa"/>
          </w:tcPr>
          <w:p w14:paraId="4D20F002" w14:textId="77777777" w:rsidR="0055417B" w:rsidRDefault="0055417B" w:rsidP="0055417B">
            <w:pPr>
              <w:pStyle w:val="Standard"/>
              <w:jc w:val="both"/>
              <w:rPr>
                <w:rFonts w:cs="Times New Roman"/>
                <w:b/>
                <w:bCs/>
                <w:sz w:val="22"/>
              </w:rPr>
            </w:pPr>
            <w:r w:rsidRPr="001E4835">
              <w:rPr>
                <w:b/>
                <w:bCs/>
                <w:sz w:val="22"/>
              </w:rPr>
              <w:t>Finanšu ministrija</w:t>
            </w:r>
          </w:p>
          <w:p w14:paraId="5617C220" w14:textId="77777777" w:rsidR="0055417B" w:rsidRDefault="0055417B" w:rsidP="0055417B">
            <w:pPr>
              <w:pStyle w:val="Standard"/>
              <w:jc w:val="both"/>
              <w:rPr>
                <w:b/>
                <w:bCs/>
                <w:sz w:val="22"/>
              </w:rPr>
            </w:pPr>
          </w:p>
          <w:p w14:paraId="44369C9D" w14:textId="0E969211" w:rsidR="0055417B" w:rsidRPr="00414C68" w:rsidRDefault="0055417B" w:rsidP="0055417B">
            <w:pPr>
              <w:pStyle w:val="Standard"/>
              <w:jc w:val="both"/>
              <w:rPr>
                <w:sz w:val="22"/>
              </w:rPr>
            </w:pPr>
            <w:r>
              <w:rPr>
                <w:sz w:val="22"/>
              </w:rPr>
              <w:t>Lūdzam precizēt kopsavilkuma 5.punktā norādīto pasākuma kārtai pieejamo finansējumu atbilstoši ES fondu kohēzijas politikas programmas 2021.-2027.gadam papildinājumā (</w:t>
            </w:r>
            <w:r w:rsidRPr="00F6541D">
              <w:rPr>
                <w:sz w:val="22"/>
                <w:highlight w:val="yellow"/>
              </w:rPr>
              <w:t>finansējuma Excel</w:t>
            </w:r>
            <w:r>
              <w:rPr>
                <w:sz w:val="22"/>
              </w:rPr>
              <w:t>) norādītajam.</w:t>
            </w:r>
          </w:p>
        </w:tc>
        <w:tc>
          <w:tcPr>
            <w:tcW w:w="2563" w:type="dxa"/>
          </w:tcPr>
          <w:p w14:paraId="7E2312B7" w14:textId="3F726940" w:rsidR="0055417B" w:rsidRPr="000054D9" w:rsidRDefault="0037277D" w:rsidP="0055417B">
            <w:pPr>
              <w:pStyle w:val="Standard"/>
              <w:jc w:val="both"/>
              <w:rPr>
                <w:sz w:val="22"/>
              </w:rPr>
            </w:pPr>
            <w:r>
              <w:rPr>
                <w:sz w:val="22"/>
              </w:rPr>
              <w:t>Sniegts skaidrojums</w:t>
            </w:r>
          </w:p>
        </w:tc>
        <w:tc>
          <w:tcPr>
            <w:tcW w:w="3702" w:type="dxa"/>
          </w:tcPr>
          <w:p w14:paraId="2291F4F6" w14:textId="3200A2C0" w:rsidR="0055417B" w:rsidRPr="000054D9" w:rsidRDefault="0037277D" w:rsidP="0055417B">
            <w:pPr>
              <w:pStyle w:val="Standard"/>
              <w:jc w:val="both"/>
              <w:rPr>
                <w:sz w:val="22"/>
              </w:rPr>
            </w:pPr>
            <w:r w:rsidRPr="0037277D">
              <w:rPr>
                <w:sz w:val="22"/>
              </w:rPr>
              <w:t>Skaidrojam, ka sasniedzamā vērtība noradīta atbildoši 3. kārtas projektu kopsummai,</w:t>
            </w:r>
            <w:r>
              <w:rPr>
                <w:sz w:val="22"/>
              </w:rPr>
              <w:t xml:space="preserve"> Programmas papildinājumā arī esam pieteikuši grozījumus attiecībā uz starpposma vērtību.</w:t>
            </w:r>
          </w:p>
        </w:tc>
      </w:tr>
      <w:tr w:rsidR="0055417B" w:rsidRPr="000054D9" w14:paraId="11884BC1" w14:textId="77777777" w:rsidTr="00167590">
        <w:tc>
          <w:tcPr>
            <w:tcW w:w="13948" w:type="dxa"/>
            <w:gridSpan w:val="5"/>
            <w:shd w:val="clear" w:color="auto" w:fill="C5E0B3" w:themeFill="accent6" w:themeFillTint="66"/>
          </w:tcPr>
          <w:p w14:paraId="16D8AD98" w14:textId="76D49AE1" w:rsidR="0055417B" w:rsidRPr="000054D9" w:rsidRDefault="0055417B" w:rsidP="0055417B">
            <w:pPr>
              <w:pStyle w:val="Standard"/>
              <w:jc w:val="both"/>
              <w:rPr>
                <w:rFonts w:cs="Times New Roman"/>
                <w:b/>
                <w:bCs/>
                <w:sz w:val="22"/>
              </w:rPr>
            </w:pPr>
            <w:r w:rsidRPr="000054D9">
              <w:rPr>
                <w:rFonts w:cs="Times New Roman"/>
                <w:b/>
                <w:bCs/>
                <w:sz w:val="22"/>
              </w:rPr>
              <w:t>Par MK noteikumiem</w:t>
            </w:r>
          </w:p>
        </w:tc>
      </w:tr>
      <w:tr w:rsidR="0055417B" w:rsidRPr="000054D9" w14:paraId="2083C86A" w14:textId="77777777" w:rsidTr="0037277D">
        <w:tc>
          <w:tcPr>
            <w:tcW w:w="555" w:type="dxa"/>
          </w:tcPr>
          <w:p w14:paraId="17F80C33" w14:textId="77777777" w:rsidR="0055417B" w:rsidRPr="000054D9" w:rsidRDefault="0055417B" w:rsidP="0055417B">
            <w:pPr>
              <w:pStyle w:val="Standard"/>
              <w:numPr>
                <w:ilvl w:val="0"/>
                <w:numId w:val="13"/>
              </w:numPr>
              <w:ind w:hanging="1049"/>
              <w:jc w:val="center"/>
              <w:rPr>
                <w:rFonts w:cs="Times New Roman"/>
                <w:b/>
                <w:bCs/>
                <w:sz w:val="22"/>
              </w:rPr>
            </w:pPr>
          </w:p>
        </w:tc>
        <w:tc>
          <w:tcPr>
            <w:tcW w:w="1980" w:type="dxa"/>
          </w:tcPr>
          <w:p w14:paraId="21F8CFCE" w14:textId="7247DF2E" w:rsidR="0055417B" w:rsidRPr="000054D9" w:rsidRDefault="0055417B" w:rsidP="0055417B">
            <w:pPr>
              <w:pStyle w:val="Standard"/>
              <w:jc w:val="both"/>
              <w:rPr>
                <w:rFonts w:cs="Times New Roman"/>
                <w:b/>
                <w:bCs/>
                <w:sz w:val="22"/>
              </w:rPr>
            </w:pPr>
            <w:r>
              <w:rPr>
                <w:rFonts w:cs="Times New Roman"/>
                <w:b/>
                <w:bCs/>
                <w:sz w:val="22"/>
              </w:rPr>
              <w:t>Vispārīgi</w:t>
            </w:r>
          </w:p>
        </w:tc>
        <w:tc>
          <w:tcPr>
            <w:tcW w:w="5148" w:type="dxa"/>
          </w:tcPr>
          <w:p w14:paraId="5CB4F411" w14:textId="77777777" w:rsidR="0055417B" w:rsidRPr="00D2118D" w:rsidRDefault="0055417B" w:rsidP="0055417B">
            <w:pPr>
              <w:pStyle w:val="Standard"/>
              <w:jc w:val="both"/>
              <w:rPr>
                <w:rFonts w:cs="Times New Roman"/>
                <w:b/>
                <w:bCs/>
                <w:sz w:val="22"/>
              </w:rPr>
            </w:pPr>
            <w:r w:rsidRPr="00D2118D">
              <w:rPr>
                <w:rFonts w:cs="Times New Roman"/>
                <w:b/>
                <w:bCs/>
                <w:sz w:val="22"/>
              </w:rPr>
              <w:t>Centrālā finanšu un līgumu aģentūra</w:t>
            </w:r>
          </w:p>
          <w:p w14:paraId="373A37DE" w14:textId="77777777" w:rsidR="0055417B" w:rsidRDefault="0055417B" w:rsidP="0055417B">
            <w:pPr>
              <w:pStyle w:val="Standard"/>
              <w:jc w:val="both"/>
              <w:rPr>
                <w:rFonts w:cs="Times New Roman"/>
                <w:sz w:val="22"/>
              </w:rPr>
            </w:pPr>
          </w:p>
          <w:p w14:paraId="6148CC0E" w14:textId="13261682" w:rsidR="0055417B" w:rsidRPr="000054D9" w:rsidRDefault="0055417B" w:rsidP="0055417B">
            <w:pPr>
              <w:pStyle w:val="Standard"/>
              <w:jc w:val="both"/>
              <w:rPr>
                <w:rFonts w:cs="Times New Roman"/>
                <w:sz w:val="22"/>
              </w:rPr>
            </w:pPr>
            <w:r w:rsidRPr="00D2118D">
              <w:rPr>
                <w:rFonts w:cs="Times New Roman"/>
                <w:sz w:val="22"/>
              </w:rPr>
              <w:t>Ar minimālām</w:t>
            </w:r>
            <w:proofErr w:type="gramStart"/>
            <w:r w:rsidRPr="00D2118D">
              <w:rPr>
                <w:rFonts w:cs="Times New Roman"/>
                <w:sz w:val="22"/>
              </w:rPr>
              <w:t xml:space="preserve">  </w:t>
            </w:r>
            <w:proofErr w:type="gramEnd"/>
            <w:r w:rsidRPr="00D2118D">
              <w:rPr>
                <w:rFonts w:cs="Times New Roman"/>
                <w:sz w:val="22"/>
              </w:rPr>
              <w:t>vai maksimālām izmaksām vienam projektam.</w:t>
            </w:r>
          </w:p>
        </w:tc>
        <w:tc>
          <w:tcPr>
            <w:tcW w:w="2563" w:type="dxa"/>
          </w:tcPr>
          <w:p w14:paraId="40C91418" w14:textId="65E7F3CF" w:rsidR="0055417B" w:rsidRPr="000054D9" w:rsidRDefault="005D3D5B" w:rsidP="0055417B">
            <w:pPr>
              <w:pStyle w:val="Standard"/>
              <w:jc w:val="both"/>
              <w:rPr>
                <w:rFonts w:cs="Times New Roman"/>
                <w:sz w:val="22"/>
              </w:rPr>
            </w:pPr>
            <w:r>
              <w:rPr>
                <w:rFonts w:cs="Times New Roman"/>
                <w:sz w:val="22"/>
              </w:rPr>
              <w:t>Daļēji ņemts vērā</w:t>
            </w:r>
          </w:p>
        </w:tc>
        <w:tc>
          <w:tcPr>
            <w:tcW w:w="3702" w:type="dxa"/>
          </w:tcPr>
          <w:p w14:paraId="7D14C2D8" w14:textId="3D94C754" w:rsidR="0055417B" w:rsidRPr="000054D9" w:rsidRDefault="005D3D5B" w:rsidP="0055417B">
            <w:pPr>
              <w:pStyle w:val="Standard"/>
              <w:jc w:val="both"/>
              <w:rPr>
                <w:rFonts w:cs="Times New Roman"/>
                <w:sz w:val="22"/>
              </w:rPr>
            </w:pPr>
            <w:r>
              <w:rPr>
                <w:rFonts w:cs="Times New Roman"/>
                <w:sz w:val="22"/>
              </w:rPr>
              <w:t>Aktuālā MKN un anotācijas versijā ir norādīta aptuvenā summa katram projektam, kas balstīta tirgus izpētē.</w:t>
            </w:r>
          </w:p>
        </w:tc>
      </w:tr>
      <w:tr w:rsidR="0055417B" w:rsidRPr="000054D9" w14:paraId="2D4DE798" w14:textId="77777777" w:rsidTr="0037277D">
        <w:tc>
          <w:tcPr>
            <w:tcW w:w="555" w:type="dxa"/>
          </w:tcPr>
          <w:p w14:paraId="7F4F63ED" w14:textId="77777777" w:rsidR="0055417B" w:rsidRPr="000054D9" w:rsidRDefault="0055417B" w:rsidP="0055417B">
            <w:pPr>
              <w:pStyle w:val="Standard"/>
              <w:numPr>
                <w:ilvl w:val="0"/>
                <w:numId w:val="13"/>
              </w:numPr>
              <w:ind w:hanging="1049"/>
              <w:jc w:val="center"/>
              <w:rPr>
                <w:rFonts w:cs="Times New Roman"/>
                <w:b/>
                <w:bCs/>
                <w:sz w:val="22"/>
              </w:rPr>
            </w:pPr>
          </w:p>
        </w:tc>
        <w:tc>
          <w:tcPr>
            <w:tcW w:w="1980" w:type="dxa"/>
          </w:tcPr>
          <w:p w14:paraId="23B97F93" w14:textId="2BE46B7C" w:rsidR="0055417B" w:rsidRPr="000054D9" w:rsidRDefault="0055417B" w:rsidP="0055417B">
            <w:pPr>
              <w:pStyle w:val="Standard"/>
              <w:jc w:val="both"/>
              <w:rPr>
                <w:rFonts w:cs="Times New Roman"/>
                <w:b/>
                <w:bCs/>
                <w:sz w:val="22"/>
              </w:rPr>
            </w:pPr>
            <w:r>
              <w:rPr>
                <w:rFonts w:cs="Times New Roman"/>
                <w:b/>
                <w:bCs/>
                <w:sz w:val="22"/>
              </w:rPr>
              <w:t>Vispārīgi</w:t>
            </w:r>
          </w:p>
        </w:tc>
        <w:tc>
          <w:tcPr>
            <w:tcW w:w="5148" w:type="dxa"/>
          </w:tcPr>
          <w:p w14:paraId="25040E10" w14:textId="77777777" w:rsidR="0055417B" w:rsidRPr="00D2118D" w:rsidRDefault="0055417B" w:rsidP="0055417B">
            <w:pPr>
              <w:pStyle w:val="Standard"/>
              <w:jc w:val="both"/>
              <w:rPr>
                <w:rFonts w:cs="Times New Roman"/>
                <w:b/>
                <w:bCs/>
                <w:sz w:val="22"/>
              </w:rPr>
            </w:pPr>
            <w:r w:rsidRPr="00D2118D">
              <w:rPr>
                <w:rFonts w:cs="Times New Roman"/>
                <w:b/>
                <w:bCs/>
                <w:sz w:val="22"/>
              </w:rPr>
              <w:t>Centrālā finanšu un līgumu aģentūra</w:t>
            </w:r>
          </w:p>
          <w:p w14:paraId="27C07F6C" w14:textId="77777777" w:rsidR="0055417B" w:rsidRDefault="0055417B" w:rsidP="0055417B">
            <w:pPr>
              <w:pStyle w:val="Standard"/>
              <w:jc w:val="both"/>
              <w:rPr>
                <w:rFonts w:cs="Times New Roman"/>
                <w:sz w:val="22"/>
              </w:rPr>
            </w:pPr>
          </w:p>
          <w:p w14:paraId="1E5FE346" w14:textId="21933762" w:rsidR="0055417B" w:rsidRPr="000054D9" w:rsidRDefault="0055417B" w:rsidP="0055417B">
            <w:pPr>
              <w:pStyle w:val="Standard"/>
              <w:jc w:val="both"/>
              <w:rPr>
                <w:rFonts w:cs="Times New Roman"/>
                <w:sz w:val="22"/>
              </w:rPr>
            </w:pPr>
            <w:r w:rsidRPr="00D2118D">
              <w:rPr>
                <w:rFonts w:cs="Times New Roman"/>
                <w:sz w:val="22"/>
              </w:rPr>
              <w:t>Noteikt procentuālus ierobežojumus izmaksām (piemēram, teritorijas labiekārtošanas darbu izmaksām,</w:t>
            </w:r>
            <w:proofErr w:type="gramStart"/>
            <w:r w:rsidRPr="00D2118D">
              <w:rPr>
                <w:rFonts w:cs="Times New Roman"/>
                <w:sz w:val="22"/>
              </w:rPr>
              <w:t xml:space="preserve">  </w:t>
            </w:r>
            <w:proofErr w:type="gramEnd"/>
            <w:r w:rsidRPr="00D2118D">
              <w:rPr>
                <w:rFonts w:cs="Times New Roman"/>
                <w:sz w:val="22"/>
              </w:rPr>
              <w:t>elektromobiļu uzlādes staciju  izbūves izmaksām, tehniskās dokumentācijas sagatavošanai u.c. ).</w:t>
            </w:r>
          </w:p>
        </w:tc>
        <w:tc>
          <w:tcPr>
            <w:tcW w:w="2563" w:type="dxa"/>
          </w:tcPr>
          <w:p w14:paraId="5F9EC919" w14:textId="5884F423" w:rsidR="0055417B" w:rsidRPr="000054D9" w:rsidRDefault="00684E6E" w:rsidP="0055417B">
            <w:pPr>
              <w:pStyle w:val="Standard"/>
              <w:jc w:val="both"/>
              <w:rPr>
                <w:rFonts w:cs="Times New Roman"/>
                <w:sz w:val="22"/>
              </w:rPr>
            </w:pPr>
            <w:r>
              <w:rPr>
                <w:rFonts w:cs="Times New Roman"/>
                <w:sz w:val="22"/>
              </w:rPr>
              <w:t>Nav ņemts vērā</w:t>
            </w:r>
          </w:p>
        </w:tc>
        <w:tc>
          <w:tcPr>
            <w:tcW w:w="3702" w:type="dxa"/>
          </w:tcPr>
          <w:p w14:paraId="6995A7A9" w14:textId="7A983D88" w:rsidR="0055417B" w:rsidRPr="000054D9" w:rsidRDefault="00684E6E" w:rsidP="0055417B">
            <w:pPr>
              <w:pStyle w:val="Standard"/>
              <w:jc w:val="both"/>
              <w:rPr>
                <w:rFonts w:cs="Times New Roman"/>
                <w:sz w:val="22"/>
              </w:rPr>
            </w:pPr>
            <w:r>
              <w:rPr>
                <w:rFonts w:cs="Times New Roman"/>
                <w:sz w:val="22"/>
              </w:rPr>
              <w:t>Šobrīd MKN novirzīti sabiedrības līdzdalībai, jautājums tiks izrunāts paralēli</w:t>
            </w:r>
          </w:p>
        </w:tc>
      </w:tr>
      <w:tr w:rsidR="0055417B" w:rsidRPr="000054D9" w14:paraId="102F8E9B" w14:textId="77777777" w:rsidTr="00340749">
        <w:tc>
          <w:tcPr>
            <w:tcW w:w="13948" w:type="dxa"/>
            <w:gridSpan w:val="5"/>
            <w:shd w:val="clear" w:color="auto" w:fill="C5E0B3" w:themeFill="accent6" w:themeFillTint="66"/>
          </w:tcPr>
          <w:p w14:paraId="106BBC9D" w14:textId="6C9AFE91" w:rsidR="0055417B" w:rsidRPr="000054D9" w:rsidRDefault="0055417B" w:rsidP="0055417B">
            <w:pPr>
              <w:pStyle w:val="Standard"/>
              <w:jc w:val="both"/>
              <w:rPr>
                <w:rFonts w:cs="Times New Roman"/>
                <w:b/>
                <w:bCs/>
                <w:sz w:val="22"/>
              </w:rPr>
            </w:pPr>
            <w:r w:rsidRPr="000054D9">
              <w:rPr>
                <w:rFonts w:cs="Times New Roman"/>
                <w:b/>
                <w:bCs/>
                <w:sz w:val="22"/>
              </w:rPr>
              <w:t>Par MK noteikumu anotāciju</w:t>
            </w:r>
          </w:p>
        </w:tc>
      </w:tr>
      <w:tr w:rsidR="0055417B" w:rsidRPr="000054D9" w14:paraId="2AB7E5DE" w14:textId="77777777" w:rsidTr="0037277D">
        <w:tc>
          <w:tcPr>
            <w:tcW w:w="555" w:type="dxa"/>
          </w:tcPr>
          <w:p w14:paraId="07E4471C" w14:textId="77777777" w:rsidR="0055417B" w:rsidRPr="000054D9" w:rsidRDefault="0055417B" w:rsidP="0055417B">
            <w:pPr>
              <w:pStyle w:val="Standard"/>
              <w:numPr>
                <w:ilvl w:val="0"/>
                <w:numId w:val="13"/>
              </w:numPr>
              <w:ind w:hanging="1049"/>
              <w:jc w:val="center"/>
              <w:rPr>
                <w:rFonts w:cs="Times New Roman"/>
                <w:b/>
                <w:bCs/>
                <w:sz w:val="22"/>
              </w:rPr>
            </w:pPr>
          </w:p>
        </w:tc>
        <w:tc>
          <w:tcPr>
            <w:tcW w:w="1980" w:type="dxa"/>
          </w:tcPr>
          <w:p w14:paraId="5B88A1BC" w14:textId="74FC48F0" w:rsidR="0055417B" w:rsidRPr="000054D9" w:rsidRDefault="0055417B" w:rsidP="0055417B">
            <w:pPr>
              <w:pStyle w:val="Standard"/>
              <w:jc w:val="both"/>
              <w:rPr>
                <w:rFonts w:cs="Times New Roman"/>
                <w:b/>
                <w:bCs/>
                <w:sz w:val="22"/>
              </w:rPr>
            </w:pPr>
            <w:r>
              <w:rPr>
                <w:rFonts w:cs="Times New Roman"/>
                <w:b/>
                <w:bCs/>
                <w:sz w:val="22"/>
              </w:rPr>
              <w:t>Vispārīgi</w:t>
            </w:r>
          </w:p>
        </w:tc>
        <w:tc>
          <w:tcPr>
            <w:tcW w:w="5148" w:type="dxa"/>
          </w:tcPr>
          <w:p w14:paraId="279C4625" w14:textId="77777777" w:rsidR="0055417B" w:rsidRPr="00D2118D" w:rsidRDefault="0055417B" w:rsidP="0055417B">
            <w:pPr>
              <w:pStyle w:val="Standard"/>
              <w:jc w:val="both"/>
              <w:rPr>
                <w:rFonts w:cs="Times New Roman"/>
                <w:b/>
                <w:bCs/>
                <w:sz w:val="22"/>
              </w:rPr>
            </w:pPr>
            <w:r w:rsidRPr="00D2118D">
              <w:rPr>
                <w:rFonts w:cs="Times New Roman"/>
                <w:b/>
                <w:bCs/>
                <w:sz w:val="22"/>
              </w:rPr>
              <w:t>Centrālā finanšu un līgumu aģentūra</w:t>
            </w:r>
          </w:p>
          <w:p w14:paraId="7D1F7938" w14:textId="77777777" w:rsidR="0055417B" w:rsidRDefault="0055417B" w:rsidP="0055417B">
            <w:pPr>
              <w:pStyle w:val="Standard"/>
              <w:jc w:val="both"/>
              <w:rPr>
                <w:rFonts w:cs="Times New Roman"/>
                <w:sz w:val="22"/>
              </w:rPr>
            </w:pPr>
          </w:p>
          <w:p w14:paraId="0F7F5717" w14:textId="1099F382" w:rsidR="0055417B" w:rsidRPr="00D2118D" w:rsidRDefault="0055417B" w:rsidP="0055417B">
            <w:pPr>
              <w:pStyle w:val="Standard"/>
              <w:jc w:val="both"/>
              <w:rPr>
                <w:sz w:val="22"/>
              </w:rPr>
            </w:pPr>
            <w:r w:rsidRPr="00D2118D">
              <w:rPr>
                <w:sz w:val="22"/>
              </w:rPr>
              <w:t>Papildina anotācijas sadaļu “Risinājuma apraksts”:</w:t>
            </w:r>
          </w:p>
          <w:p w14:paraId="233CC40E" w14:textId="18C9C9EA" w:rsidR="0055417B" w:rsidRPr="00D2118D" w:rsidRDefault="0055417B" w:rsidP="0055417B">
            <w:pPr>
              <w:pStyle w:val="Standard"/>
              <w:jc w:val="both"/>
              <w:rPr>
                <w:sz w:val="22"/>
              </w:rPr>
            </w:pPr>
            <w:r w:rsidRPr="00D2118D">
              <w:rPr>
                <w:sz w:val="22"/>
              </w:rPr>
              <w:t>1.</w:t>
            </w:r>
            <w:r>
              <w:rPr>
                <w:sz w:val="22"/>
              </w:rPr>
              <w:t xml:space="preserve"> </w:t>
            </w:r>
            <w:r w:rsidRPr="00D2118D">
              <w:rPr>
                <w:sz w:val="22"/>
              </w:rPr>
              <w:t xml:space="preserve">par transportlīdzekļu  pārveidi (kādus veida transportlīdzekļus plānots pārveidot, kādi pārveides </w:t>
            </w:r>
            <w:r w:rsidRPr="00D2118D">
              <w:rPr>
                <w:sz w:val="22"/>
              </w:rPr>
              <w:lastRenderedPageBreak/>
              <w:t xml:space="preserve">darbi ir nepieciešami, kā plānots reģistrēt </w:t>
            </w:r>
            <w:proofErr w:type="spellStart"/>
            <w:r w:rsidRPr="00D2118D">
              <w:rPr>
                <w:sz w:val="22"/>
              </w:rPr>
              <w:t>trasportlīdzekļus</w:t>
            </w:r>
            <w:proofErr w:type="spellEnd"/>
            <w:r w:rsidRPr="00D2118D">
              <w:rPr>
                <w:sz w:val="22"/>
              </w:rPr>
              <w:t xml:space="preserve">), </w:t>
            </w:r>
          </w:p>
          <w:p w14:paraId="6D3A177D" w14:textId="716DFC41" w:rsidR="0055417B" w:rsidRPr="00D2118D" w:rsidRDefault="0055417B" w:rsidP="0055417B">
            <w:pPr>
              <w:pStyle w:val="Standard"/>
              <w:jc w:val="both"/>
              <w:rPr>
                <w:sz w:val="22"/>
              </w:rPr>
            </w:pPr>
            <w:r w:rsidRPr="00D2118D">
              <w:rPr>
                <w:sz w:val="22"/>
              </w:rPr>
              <w:t>2.</w:t>
            </w:r>
            <w:r>
              <w:rPr>
                <w:sz w:val="22"/>
              </w:rPr>
              <w:t xml:space="preserve"> </w:t>
            </w:r>
            <w:r w:rsidRPr="00D2118D">
              <w:rPr>
                <w:sz w:val="22"/>
              </w:rPr>
              <w:t>par plānotajām uzstādāmajām iekārtām (kādas iekārtas ir plānots uzstādīt (MKN 21.3. un 23.5.apakšpunkts), aprīkojumu un tehnoloģisko aprīkojumu,</w:t>
            </w:r>
          </w:p>
          <w:p w14:paraId="23B19BB7" w14:textId="64EEAAC0" w:rsidR="0055417B" w:rsidRPr="000054D9" w:rsidRDefault="0055417B" w:rsidP="0055417B">
            <w:pPr>
              <w:pStyle w:val="Standard"/>
              <w:jc w:val="both"/>
              <w:rPr>
                <w:rFonts w:cs="Times New Roman"/>
                <w:sz w:val="22"/>
              </w:rPr>
            </w:pPr>
            <w:r w:rsidRPr="00D2118D">
              <w:rPr>
                <w:sz w:val="22"/>
              </w:rPr>
              <w:t>3</w:t>
            </w:r>
            <w:r>
              <w:rPr>
                <w:sz w:val="22"/>
              </w:rPr>
              <w:t xml:space="preserve">. </w:t>
            </w:r>
            <w:r w:rsidRPr="00D2118D">
              <w:rPr>
                <w:sz w:val="22"/>
              </w:rPr>
              <w:t xml:space="preserve">par būvju tehnisko dokumentāciju (kādā stadijā ir jābūt gatava </w:t>
            </w:r>
            <w:proofErr w:type="spellStart"/>
            <w:r w:rsidRPr="00D2118D">
              <w:rPr>
                <w:sz w:val="22"/>
              </w:rPr>
              <w:t>būvdokumentācija</w:t>
            </w:r>
            <w:proofErr w:type="spellEnd"/>
            <w:r w:rsidRPr="00D2118D">
              <w:rPr>
                <w:sz w:val="22"/>
              </w:rPr>
              <w:t xml:space="preserve"> - vai ir nepieciešams iesniegt tikai projektēšanas uzdevumu, būvatļauju, vai jau  apstiprinātu būvprojektu).</w:t>
            </w:r>
          </w:p>
        </w:tc>
        <w:tc>
          <w:tcPr>
            <w:tcW w:w="2563" w:type="dxa"/>
          </w:tcPr>
          <w:p w14:paraId="6FAF7CF7" w14:textId="31153285" w:rsidR="0055417B" w:rsidRPr="000054D9" w:rsidRDefault="005D3D5B" w:rsidP="0055417B">
            <w:pPr>
              <w:pStyle w:val="Standard"/>
              <w:jc w:val="both"/>
              <w:rPr>
                <w:rFonts w:cs="Times New Roman"/>
                <w:sz w:val="22"/>
              </w:rPr>
            </w:pPr>
            <w:r>
              <w:rPr>
                <w:rFonts w:cs="Times New Roman"/>
                <w:sz w:val="22"/>
              </w:rPr>
              <w:lastRenderedPageBreak/>
              <w:t>Ņemts vērā</w:t>
            </w:r>
          </w:p>
        </w:tc>
        <w:tc>
          <w:tcPr>
            <w:tcW w:w="3702" w:type="dxa"/>
          </w:tcPr>
          <w:p w14:paraId="3A5A067E" w14:textId="75052833" w:rsidR="0055417B" w:rsidRPr="000054D9" w:rsidRDefault="005D3D5B" w:rsidP="0055417B">
            <w:pPr>
              <w:pStyle w:val="Standard"/>
              <w:jc w:val="both"/>
              <w:rPr>
                <w:rFonts w:cs="Times New Roman"/>
                <w:sz w:val="22"/>
              </w:rPr>
            </w:pPr>
            <w:r>
              <w:rPr>
                <w:rFonts w:cs="Times New Roman"/>
                <w:sz w:val="22"/>
              </w:rPr>
              <w:t>Anotācija papildināta ar prasīto informāciju.</w:t>
            </w:r>
          </w:p>
        </w:tc>
      </w:tr>
      <w:tr w:rsidR="0055417B" w:rsidRPr="000054D9" w14:paraId="3B77E11E" w14:textId="77777777" w:rsidTr="0037277D">
        <w:tc>
          <w:tcPr>
            <w:tcW w:w="555" w:type="dxa"/>
          </w:tcPr>
          <w:p w14:paraId="42D5406C" w14:textId="77777777" w:rsidR="0055417B" w:rsidRPr="000054D9" w:rsidRDefault="0055417B" w:rsidP="0055417B">
            <w:pPr>
              <w:pStyle w:val="Standard"/>
              <w:numPr>
                <w:ilvl w:val="0"/>
                <w:numId w:val="13"/>
              </w:numPr>
              <w:ind w:hanging="1049"/>
              <w:jc w:val="center"/>
              <w:rPr>
                <w:rFonts w:cs="Times New Roman"/>
                <w:b/>
                <w:bCs/>
                <w:sz w:val="22"/>
              </w:rPr>
            </w:pPr>
          </w:p>
        </w:tc>
        <w:tc>
          <w:tcPr>
            <w:tcW w:w="1980" w:type="dxa"/>
          </w:tcPr>
          <w:p w14:paraId="0A153D17" w14:textId="0D8717AD" w:rsidR="0055417B" w:rsidRPr="000054D9" w:rsidRDefault="0055417B" w:rsidP="0055417B">
            <w:pPr>
              <w:pStyle w:val="Standard"/>
              <w:jc w:val="both"/>
              <w:rPr>
                <w:rFonts w:cs="Times New Roman"/>
                <w:b/>
                <w:bCs/>
                <w:sz w:val="22"/>
              </w:rPr>
            </w:pPr>
            <w:r>
              <w:rPr>
                <w:rFonts w:cs="Times New Roman"/>
                <w:b/>
                <w:bCs/>
                <w:sz w:val="22"/>
              </w:rPr>
              <w:t>Vispārīgi</w:t>
            </w:r>
          </w:p>
        </w:tc>
        <w:tc>
          <w:tcPr>
            <w:tcW w:w="5148" w:type="dxa"/>
          </w:tcPr>
          <w:p w14:paraId="313BB41D" w14:textId="77777777" w:rsidR="0055417B" w:rsidRPr="00D2118D" w:rsidRDefault="0055417B" w:rsidP="0055417B">
            <w:pPr>
              <w:pStyle w:val="Standard"/>
              <w:jc w:val="both"/>
              <w:rPr>
                <w:rFonts w:cs="Times New Roman"/>
                <w:b/>
                <w:bCs/>
                <w:sz w:val="22"/>
              </w:rPr>
            </w:pPr>
            <w:r w:rsidRPr="00D2118D">
              <w:rPr>
                <w:rFonts w:cs="Times New Roman"/>
                <w:b/>
                <w:bCs/>
                <w:sz w:val="22"/>
              </w:rPr>
              <w:t>Centrālā finanšu un līgumu aģentūra</w:t>
            </w:r>
          </w:p>
          <w:p w14:paraId="32E92C65" w14:textId="77777777" w:rsidR="0055417B" w:rsidRDefault="0055417B" w:rsidP="0055417B">
            <w:pPr>
              <w:pStyle w:val="Standard"/>
              <w:jc w:val="both"/>
              <w:rPr>
                <w:rFonts w:cs="Times New Roman"/>
                <w:sz w:val="22"/>
              </w:rPr>
            </w:pPr>
          </w:p>
          <w:p w14:paraId="6BD54444" w14:textId="4261899D" w:rsidR="0055417B" w:rsidRPr="000054D9" w:rsidRDefault="0055417B" w:rsidP="0055417B">
            <w:pPr>
              <w:pStyle w:val="Standard"/>
              <w:jc w:val="both"/>
              <w:rPr>
                <w:rFonts w:cs="Times New Roman"/>
                <w:sz w:val="22"/>
              </w:rPr>
            </w:pPr>
            <w:r w:rsidRPr="00D2118D">
              <w:rPr>
                <w:rFonts w:cs="Times New Roman"/>
                <w:sz w:val="22"/>
              </w:rPr>
              <w:t>Skaidrot, kas ir saistītā infrastruktūra (MKN 20.7.apakšpunkts).</w:t>
            </w:r>
          </w:p>
        </w:tc>
        <w:tc>
          <w:tcPr>
            <w:tcW w:w="2563" w:type="dxa"/>
          </w:tcPr>
          <w:p w14:paraId="6FA8C548" w14:textId="54D0AB93" w:rsidR="0055417B" w:rsidRPr="000054D9" w:rsidRDefault="00EB0909" w:rsidP="0055417B">
            <w:pPr>
              <w:pStyle w:val="Standard"/>
              <w:jc w:val="both"/>
              <w:rPr>
                <w:rFonts w:cs="Times New Roman"/>
                <w:sz w:val="22"/>
              </w:rPr>
            </w:pPr>
            <w:r>
              <w:rPr>
                <w:rFonts w:cs="Times New Roman"/>
                <w:sz w:val="22"/>
              </w:rPr>
              <w:t>Ņemts vērā</w:t>
            </w:r>
          </w:p>
        </w:tc>
        <w:tc>
          <w:tcPr>
            <w:tcW w:w="3702" w:type="dxa"/>
          </w:tcPr>
          <w:p w14:paraId="38A5609B" w14:textId="7927F258" w:rsidR="0055417B" w:rsidRPr="000054D9" w:rsidRDefault="00EB0909" w:rsidP="0055417B">
            <w:pPr>
              <w:pStyle w:val="Standard"/>
              <w:jc w:val="both"/>
              <w:rPr>
                <w:rFonts w:cs="Times New Roman"/>
                <w:sz w:val="22"/>
              </w:rPr>
            </w:pPr>
            <w:r>
              <w:rPr>
                <w:rFonts w:cs="Times New Roman"/>
                <w:sz w:val="22"/>
              </w:rPr>
              <w:t>Anotācija papildināta</w:t>
            </w:r>
            <w:r w:rsidR="005412B5">
              <w:rPr>
                <w:rFonts w:cs="Times New Roman"/>
                <w:sz w:val="22"/>
              </w:rPr>
              <w:t xml:space="preserve"> ar skaidrojumu.</w:t>
            </w:r>
          </w:p>
        </w:tc>
      </w:tr>
      <w:tr w:rsidR="0055417B" w:rsidRPr="000054D9" w14:paraId="71C269EF" w14:textId="77777777" w:rsidTr="0037277D">
        <w:tc>
          <w:tcPr>
            <w:tcW w:w="555" w:type="dxa"/>
          </w:tcPr>
          <w:p w14:paraId="3ABE2636" w14:textId="77777777" w:rsidR="0055417B" w:rsidRPr="000054D9" w:rsidRDefault="0055417B" w:rsidP="0055417B">
            <w:pPr>
              <w:pStyle w:val="Standard"/>
              <w:numPr>
                <w:ilvl w:val="0"/>
                <w:numId w:val="13"/>
              </w:numPr>
              <w:ind w:hanging="1049"/>
              <w:jc w:val="center"/>
              <w:rPr>
                <w:b/>
                <w:bCs/>
                <w:sz w:val="22"/>
              </w:rPr>
            </w:pPr>
          </w:p>
        </w:tc>
        <w:tc>
          <w:tcPr>
            <w:tcW w:w="1980" w:type="dxa"/>
          </w:tcPr>
          <w:p w14:paraId="2BCCA874" w14:textId="12A3FE53" w:rsidR="0055417B" w:rsidRPr="000054D9" w:rsidRDefault="0055417B" w:rsidP="0055417B">
            <w:pPr>
              <w:pStyle w:val="Standard"/>
              <w:jc w:val="both"/>
              <w:rPr>
                <w:b/>
                <w:bCs/>
                <w:sz w:val="22"/>
              </w:rPr>
            </w:pPr>
            <w:r>
              <w:rPr>
                <w:rFonts w:cs="Times New Roman"/>
                <w:b/>
                <w:bCs/>
                <w:sz w:val="22"/>
              </w:rPr>
              <w:t>Vispārīgi</w:t>
            </w:r>
          </w:p>
        </w:tc>
        <w:tc>
          <w:tcPr>
            <w:tcW w:w="5148" w:type="dxa"/>
          </w:tcPr>
          <w:p w14:paraId="4A66E40B" w14:textId="77777777" w:rsidR="0055417B" w:rsidRPr="00D2118D" w:rsidRDefault="0055417B" w:rsidP="0055417B">
            <w:pPr>
              <w:pStyle w:val="Standard"/>
              <w:jc w:val="both"/>
              <w:rPr>
                <w:rFonts w:cs="Times New Roman"/>
                <w:b/>
                <w:bCs/>
                <w:sz w:val="22"/>
              </w:rPr>
            </w:pPr>
            <w:r w:rsidRPr="00D2118D">
              <w:rPr>
                <w:rFonts w:cs="Times New Roman"/>
                <w:b/>
                <w:bCs/>
                <w:sz w:val="22"/>
              </w:rPr>
              <w:t>Centrālā finanšu un līgumu aģentūra</w:t>
            </w:r>
          </w:p>
          <w:p w14:paraId="0BE7A63D" w14:textId="77777777" w:rsidR="0055417B" w:rsidRPr="00D2118D" w:rsidRDefault="0055417B" w:rsidP="0055417B">
            <w:pPr>
              <w:pStyle w:val="Standard"/>
              <w:jc w:val="both"/>
              <w:rPr>
                <w:sz w:val="22"/>
              </w:rPr>
            </w:pPr>
          </w:p>
          <w:p w14:paraId="656744E0" w14:textId="473D56CD" w:rsidR="0055417B" w:rsidRPr="00D2118D" w:rsidRDefault="0055417B" w:rsidP="0055417B">
            <w:pPr>
              <w:pStyle w:val="Standard"/>
              <w:jc w:val="both"/>
              <w:rPr>
                <w:b/>
                <w:bCs/>
                <w:sz w:val="22"/>
              </w:rPr>
            </w:pPr>
            <w:r w:rsidRPr="00D2118D">
              <w:rPr>
                <w:sz w:val="22"/>
              </w:rPr>
              <w:t xml:space="preserve">Skaidrot par ekspertu piesaisti un projekta ekspertīzes veikšanas nepieciešamību (MKN 20.3. un </w:t>
            </w:r>
            <w:proofErr w:type="gramStart"/>
            <w:r w:rsidRPr="00D2118D">
              <w:rPr>
                <w:sz w:val="22"/>
              </w:rPr>
              <w:t>21.4.apakšpunkti</w:t>
            </w:r>
            <w:proofErr w:type="gramEnd"/>
            <w:r w:rsidRPr="00D2118D">
              <w:rPr>
                <w:sz w:val="22"/>
              </w:rPr>
              <w:t>).</w:t>
            </w:r>
          </w:p>
        </w:tc>
        <w:tc>
          <w:tcPr>
            <w:tcW w:w="2563" w:type="dxa"/>
          </w:tcPr>
          <w:p w14:paraId="45CA444E" w14:textId="46D8FA07" w:rsidR="0055417B" w:rsidRPr="000054D9" w:rsidRDefault="005412B5" w:rsidP="0055417B">
            <w:pPr>
              <w:pStyle w:val="Standard"/>
              <w:jc w:val="both"/>
              <w:rPr>
                <w:sz w:val="22"/>
              </w:rPr>
            </w:pPr>
            <w:r>
              <w:rPr>
                <w:sz w:val="22"/>
              </w:rPr>
              <w:t>Ņemts vērā</w:t>
            </w:r>
          </w:p>
        </w:tc>
        <w:tc>
          <w:tcPr>
            <w:tcW w:w="3702" w:type="dxa"/>
          </w:tcPr>
          <w:p w14:paraId="7BAB32A2" w14:textId="5A926796" w:rsidR="0055417B" w:rsidRPr="000054D9" w:rsidRDefault="005412B5" w:rsidP="0055417B">
            <w:pPr>
              <w:pStyle w:val="Standard"/>
              <w:jc w:val="both"/>
              <w:rPr>
                <w:sz w:val="22"/>
              </w:rPr>
            </w:pPr>
            <w:r>
              <w:rPr>
                <w:sz w:val="22"/>
              </w:rPr>
              <w:t>Anotācija papildināta.</w:t>
            </w:r>
          </w:p>
        </w:tc>
      </w:tr>
      <w:tr w:rsidR="0037277D" w:rsidRPr="000054D9" w14:paraId="7FF10790" w14:textId="77777777" w:rsidTr="0037277D">
        <w:tc>
          <w:tcPr>
            <w:tcW w:w="13948" w:type="dxa"/>
            <w:gridSpan w:val="5"/>
            <w:shd w:val="clear" w:color="auto" w:fill="C5E0B3" w:themeFill="accent6" w:themeFillTint="66"/>
          </w:tcPr>
          <w:p w14:paraId="0F1A530E" w14:textId="69FDDFE9" w:rsidR="0037277D" w:rsidRPr="0037277D" w:rsidRDefault="0037277D" w:rsidP="0055417B">
            <w:pPr>
              <w:pStyle w:val="Standard"/>
              <w:jc w:val="both"/>
              <w:rPr>
                <w:b/>
                <w:sz w:val="22"/>
              </w:rPr>
            </w:pPr>
            <w:r w:rsidRPr="0037277D">
              <w:rPr>
                <w:b/>
                <w:sz w:val="22"/>
              </w:rPr>
              <w:t xml:space="preserve">Papildu elektroniski saņemtie komentāri no CFLA </w:t>
            </w:r>
          </w:p>
        </w:tc>
      </w:tr>
      <w:tr w:rsidR="0037277D" w:rsidRPr="000054D9" w14:paraId="093B135A" w14:textId="77777777" w:rsidTr="0037277D">
        <w:tc>
          <w:tcPr>
            <w:tcW w:w="555" w:type="dxa"/>
          </w:tcPr>
          <w:p w14:paraId="1F5511EB" w14:textId="77777777" w:rsidR="0037277D" w:rsidRPr="000054D9" w:rsidRDefault="0037277D" w:rsidP="0055417B">
            <w:pPr>
              <w:pStyle w:val="Standard"/>
              <w:numPr>
                <w:ilvl w:val="0"/>
                <w:numId w:val="13"/>
              </w:numPr>
              <w:ind w:hanging="1049"/>
              <w:jc w:val="center"/>
              <w:rPr>
                <w:b/>
                <w:bCs/>
                <w:sz w:val="22"/>
              </w:rPr>
            </w:pPr>
          </w:p>
        </w:tc>
        <w:tc>
          <w:tcPr>
            <w:tcW w:w="1980" w:type="dxa"/>
          </w:tcPr>
          <w:p w14:paraId="1D9D3599" w14:textId="6B91D5F1" w:rsidR="0037277D" w:rsidRDefault="0037277D" w:rsidP="0055417B">
            <w:pPr>
              <w:pStyle w:val="Standard"/>
              <w:jc w:val="both"/>
              <w:rPr>
                <w:b/>
                <w:bCs/>
                <w:sz w:val="22"/>
              </w:rPr>
            </w:pPr>
            <w:r>
              <w:rPr>
                <w:b/>
                <w:bCs/>
                <w:sz w:val="22"/>
              </w:rPr>
              <w:t>Kritērijs Nr. 2.1.</w:t>
            </w:r>
          </w:p>
        </w:tc>
        <w:tc>
          <w:tcPr>
            <w:tcW w:w="5148" w:type="dxa"/>
          </w:tcPr>
          <w:p w14:paraId="52D3B382" w14:textId="77777777" w:rsidR="0037277D" w:rsidRPr="0037277D" w:rsidRDefault="0037277D" w:rsidP="0037277D">
            <w:pPr>
              <w:pStyle w:val="Standard"/>
              <w:jc w:val="both"/>
              <w:rPr>
                <w:bCs/>
                <w:sz w:val="22"/>
              </w:rPr>
            </w:pPr>
            <w:r w:rsidRPr="0037277D">
              <w:rPr>
                <w:bCs/>
                <w:sz w:val="22"/>
              </w:rPr>
              <w:t xml:space="preserve">Lūdzam pārformulēt specifisko atbilstības kritēriju Nr.2.1. “Projekts ir vērsts uz katastrofu pārvaldības sistēmas trūkumu novēršanu visā Latvijas teritorijā.”, </w:t>
            </w:r>
            <w:proofErr w:type="gramStart"/>
            <w:r w:rsidRPr="0037277D">
              <w:rPr>
                <w:bCs/>
                <w:sz w:val="22"/>
              </w:rPr>
              <w:t>paredzot konkrētāku pārbaudāmo jomu, niansi.</w:t>
            </w:r>
            <w:proofErr w:type="gramEnd"/>
            <w:r w:rsidRPr="0037277D">
              <w:rPr>
                <w:bCs/>
                <w:sz w:val="22"/>
              </w:rPr>
              <w:t xml:space="preserve"> Šī brīža redakcija ir vispārīga, visaptveroša. “Vērsts” ir nekonkrēts un interpretējams.</w:t>
            </w:r>
          </w:p>
          <w:p w14:paraId="1E9A5566" w14:textId="77777777" w:rsidR="0037277D" w:rsidRPr="0037277D" w:rsidRDefault="0037277D" w:rsidP="0037277D">
            <w:pPr>
              <w:pStyle w:val="Standard"/>
              <w:jc w:val="both"/>
              <w:rPr>
                <w:bCs/>
                <w:sz w:val="22"/>
              </w:rPr>
            </w:pPr>
          </w:p>
          <w:p w14:paraId="21CAF55C" w14:textId="77777777" w:rsidR="0037277D" w:rsidRPr="0037277D" w:rsidRDefault="0037277D" w:rsidP="0037277D">
            <w:pPr>
              <w:pStyle w:val="Standard"/>
              <w:jc w:val="both"/>
              <w:rPr>
                <w:bCs/>
                <w:sz w:val="22"/>
              </w:rPr>
            </w:pPr>
            <w:r w:rsidRPr="0037277D">
              <w:rPr>
                <w:bCs/>
                <w:sz w:val="22"/>
              </w:rPr>
              <w:t>Piedāvājam, piem., izteikt šādā redakcijā “Projekta investīcijas novērš dokumentā X identificētos katastrofu pārvaldības sistēmas Latvijas teritorijā identificētos trūkumus”. Saskaņā ar kritēriju komplektam pievienoto MKN projekta anotācijā norādīto, projekta “Iekšlietu nozares iestāžu efektivitātes paaugstināšana” realizācijas rezultātā tapa rekomendācijas, kuras attiecīgi ir integrētas horizontālajos nozares darbību regulējošos dokumentos. Līdz ar to, iespējams, ka konkrētais projekts ir skatāms pret to, vai tiek izpildītas izvirzītās rekomendācijas vai ne.</w:t>
            </w:r>
          </w:p>
          <w:p w14:paraId="023392F5" w14:textId="77777777" w:rsidR="0037277D" w:rsidRPr="0037277D" w:rsidRDefault="0037277D" w:rsidP="0037277D">
            <w:pPr>
              <w:pStyle w:val="Standard"/>
              <w:jc w:val="both"/>
              <w:rPr>
                <w:bCs/>
                <w:sz w:val="22"/>
              </w:rPr>
            </w:pPr>
          </w:p>
          <w:p w14:paraId="331DDE2A" w14:textId="0F996DE4" w:rsidR="0037277D" w:rsidRPr="00D2118D" w:rsidRDefault="0037277D" w:rsidP="0037277D">
            <w:pPr>
              <w:pStyle w:val="Standard"/>
              <w:jc w:val="both"/>
              <w:rPr>
                <w:b/>
                <w:bCs/>
                <w:sz w:val="22"/>
              </w:rPr>
            </w:pPr>
            <w:r w:rsidRPr="0037277D">
              <w:rPr>
                <w:bCs/>
                <w:sz w:val="22"/>
              </w:rPr>
              <w:t>Attiecīgi aicinām pielāgot arī kritēriju piemērošanas skaidrojumu metodiku, norādot minimālās prasības un sasaisti ar šiem izejas dokumentiem.</w:t>
            </w:r>
          </w:p>
        </w:tc>
        <w:tc>
          <w:tcPr>
            <w:tcW w:w="2563" w:type="dxa"/>
          </w:tcPr>
          <w:p w14:paraId="1BE0B1D9" w14:textId="17DD7DBF" w:rsidR="0037277D" w:rsidRPr="000054D9" w:rsidRDefault="000C4565" w:rsidP="0055417B">
            <w:pPr>
              <w:pStyle w:val="Standard"/>
              <w:jc w:val="both"/>
              <w:rPr>
                <w:sz w:val="22"/>
              </w:rPr>
            </w:pPr>
            <w:r>
              <w:rPr>
                <w:sz w:val="22"/>
              </w:rPr>
              <w:lastRenderedPageBreak/>
              <w:t>Nav ņemts</w:t>
            </w:r>
            <w:r w:rsidR="0037277D">
              <w:rPr>
                <w:sz w:val="22"/>
              </w:rPr>
              <w:t xml:space="preserve"> vērā</w:t>
            </w:r>
          </w:p>
        </w:tc>
        <w:tc>
          <w:tcPr>
            <w:tcW w:w="3702" w:type="dxa"/>
          </w:tcPr>
          <w:p w14:paraId="16139B57" w14:textId="288BB3E1" w:rsidR="0037277D" w:rsidRPr="000054D9" w:rsidRDefault="000C4565" w:rsidP="0055417B">
            <w:pPr>
              <w:pStyle w:val="Standard"/>
              <w:jc w:val="both"/>
              <w:rPr>
                <w:sz w:val="22"/>
              </w:rPr>
            </w:pPr>
            <w:r>
              <w:rPr>
                <w:sz w:val="22"/>
              </w:rPr>
              <w:t>Kritēriju piemērošanas metodikā jau ir norādīts, pret kādiem dokumentiem jāvērtē plānotie projekti</w:t>
            </w:r>
            <w:r w:rsidR="007B3447">
              <w:rPr>
                <w:sz w:val="22"/>
              </w:rPr>
              <w:t xml:space="preserve">, tas ir, uz Valsts civilās aizsardzības plānu, kas ir plašs un visaptverošs dokuments, kā arī uz priekšizpēti, kas veikta ar mērķi izvērtēt VUGD </w:t>
            </w:r>
            <w:r w:rsidR="007B3447" w:rsidRPr="007B3447">
              <w:rPr>
                <w:sz w:val="22"/>
              </w:rPr>
              <w:t>labākās prakses veicināšanu un kapacitātes palielināšanu</w:t>
            </w:r>
            <w:r w:rsidR="007B3447">
              <w:rPr>
                <w:sz w:val="22"/>
              </w:rPr>
              <w:t>, nodrošinot konkrētu uzdevumu un projektu uzskaiti un to izmaksu aprēķinu.</w:t>
            </w:r>
          </w:p>
        </w:tc>
      </w:tr>
      <w:tr w:rsidR="000C4565" w:rsidRPr="000054D9" w14:paraId="7058C04A" w14:textId="77777777" w:rsidTr="0037277D">
        <w:tc>
          <w:tcPr>
            <w:tcW w:w="555" w:type="dxa"/>
          </w:tcPr>
          <w:p w14:paraId="3D21549E" w14:textId="77777777" w:rsidR="000C4565" w:rsidRPr="000054D9" w:rsidRDefault="000C4565" w:rsidP="0055417B">
            <w:pPr>
              <w:pStyle w:val="Standard"/>
              <w:numPr>
                <w:ilvl w:val="0"/>
                <w:numId w:val="13"/>
              </w:numPr>
              <w:ind w:hanging="1049"/>
              <w:jc w:val="center"/>
              <w:rPr>
                <w:b/>
                <w:bCs/>
                <w:sz w:val="22"/>
              </w:rPr>
            </w:pPr>
          </w:p>
        </w:tc>
        <w:tc>
          <w:tcPr>
            <w:tcW w:w="1980" w:type="dxa"/>
          </w:tcPr>
          <w:p w14:paraId="42B7F43C" w14:textId="55170E32" w:rsidR="000C4565" w:rsidRDefault="000C4565" w:rsidP="0055417B">
            <w:pPr>
              <w:pStyle w:val="Standard"/>
              <w:jc w:val="both"/>
              <w:rPr>
                <w:b/>
                <w:bCs/>
                <w:sz w:val="22"/>
              </w:rPr>
            </w:pPr>
            <w:r>
              <w:rPr>
                <w:b/>
                <w:bCs/>
                <w:sz w:val="22"/>
              </w:rPr>
              <w:t>K</w:t>
            </w:r>
            <w:r w:rsidRPr="000C4565">
              <w:rPr>
                <w:b/>
                <w:bCs/>
                <w:sz w:val="22"/>
              </w:rPr>
              <w:t>ritērij</w:t>
            </w:r>
            <w:r>
              <w:rPr>
                <w:b/>
                <w:bCs/>
                <w:sz w:val="22"/>
              </w:rPr>
              <w:t>s</w:t>
            </w:r>
            <w:r w:rsidRPr="000C4565">
              <w:rPr>
                <w:b/>
                <w:bCs/>
                <w:sz w:val="22"/>
              </w:rPr>
              <w:t xml:space="preserve"> Nr.2.2.</w:t>
            </w:r>
          </w:p>
        </w:tc>
        <w:tc>
          <w:tcPr>
            <w:tcW w:w="5148" w:type="dxa"/>
          </w:tcPr>
          <w:p w14:paraId="088A7EB4" w14:textId="77777777" w:rsidR="000C4565" w:rsidRPr="000C4565" w:rsidRDefault="000C4565" w:rsidP="000C4565">
            <w:pPr>
              <w:pStyle w:val="Standard"/>
              <w:jc w:val="both"/>
              <w:rPr>
                <w:bCs/>
                <w:sz w:val="22"/>
              </w:rPr>
            </w:pPr>
            <w:r w:rsidRPr="000C4565">
              <w:rPr>
                <w:bCs/>
                <w:sz w:val="22"/>
              </w:rPr>
              <w:t>Lūdzam precizēt specifiskā atbilstības kritērija Nr.2.2.</w:t>
            </w:r>
            <w:proofErr w:type="gramStart"/>
            <w:r w:rsidRPr="000C4565">
              <w:rPr>
                <w:bCs/>
                <w:sz w:val="22"/>
              </w:rPr>
              <w:t xml:space="preserve">  </w:t>
            </w:r>
            <w:proofErr w:type="gramEnd"/>
            <w:r w:rsidRPr="000C4565">
              <w:rPr>
                <w:bCs/>
                <w:sz w:val="22"/>
              </w:rPr>
              <w:t>“Projekta darbības paredzēts īstenot, ievērojot Jaunā Eiropas “</w:t>
            </w:r>
            <w:proofErr w:type="spellStart"/>
            <w:r w:rsidRPr="000C4565">
              <w:rPr>
                <w:bCs/>
                <w:sz w:val="22"/>
              </w:rPr>
              <w:t>Bauhaus</w:t>
            </w:r>
            <w:proofErr w:type="spellEnd"/>
            <w:r w:rsidRPr="000C4565">
              <w:rPr>
                <w:bCs/>
                <w:sz w:val="22"/>
              </w:rPr>
              <w:t>” principus: estētika, ilgtspēja, iekļautība, tai skaitā, nodrošinot publiskās ārtelpas attīstības risinājumu iekļaušanos apkārtējā ainavā, dabā balstīto risinājumu, universālā dizaina principu ievērošanu…” piemērošanas metodiku, norādot, ka:</w:t>
            </w:r>
          </w:p>
          <w:p w14:paraId="442B72A4" w14:textId="77777777" w:rsidR="000C4565" w:rsidRPr="000C4565" w:rsidRDefault="000C4565" w:rsidP="000C4565">
            <w:pPr>
              <w:pStyle w:val="Standard"/>
              <w:jc w:val="both"/>
              <w:rPr>
                <w:bCs/>
                <w:sz w:val="22"/>
              </w:rPr>
            </w:pPr>
          </w:p>
          <w:p w14:paraId="51D9E0B5" w14:textId="60E7706E" w:rsidR="000C4565" w:rsidRPr="000C4565" w:rsidRDefault="000C4565" w:rsidP="000C4565">
            <w:pPr>
              <w:pStyle w:val="Standard"/>
              <w:jc w:val="both"/>
              <w:rPr>
                <w:bCs/>
                <w:sz w:val="22"/>
              </w:rPr>
            </w:pPr>
            <w:r w:rsidRPr="000C4565">
              <w:rPr>
                <w:bCs/>
                <w:sz w:val="22"/>
              </w:rPr>
              <w:t>a</w:t>
            </w:r>
            <w:r w:rsidR="005010D9">
              <w:rPr>
                <w:bCs/>
                <w:sz w:val="22"/>
              </w:rPr>
              <w:t xml:space="preserve">) </w:t>
            </w:r>
            <w:r w:rsidRPr="000C4565">
              <w:rPr>
                <w:bCs/>
                <w:sz w:val="22"/>
              </w:rPr>
              <w:t>izvērtēšanas kompetenci par risinājumu atbilstību</w:t>
            </w:r>
            <w:proofErr w:type="gramStart"/>
            <w:r w:rsidRPr="000C4565">
              <w:rPr>
                <w:bCs/>
                <w:sz w:val="22"/>
              </w:rPr>
              <w:t xml:space="preserve">  </w:t>
            </w:r>
            <w:proofErr w:type="gramEnd"/>
            <w:r w:rsidRPr="000C4565">
              <w:rPr>
                <w:bCs/>
                <w:sz w:val="22"/>
              </w:rPr>
              <w:t>plānots uzticēt nozares, jomas ekspertam;</w:t>
            </w:r>
          </w:p>
          <w:p w14:paraId="2E8E6582" w14:textId="77777777" w:rsidR="000C4565" w:rsidRPr="000C4565" w:rsidRDefault="000C4565" w:rsidP="000C4565">
            <w:pPr>
              <w:pStyle w:val="Standard"/>
              <w:jc w:val="both"/>
              <w:rPr>
                <w:bCs/>
                <w:sz w:val="22"/>
              </w:rPr>
            </w:pPr>
          </w:p>
          <w:p w14:paraId="26217C89" w14:textId="7C5B4D69" w:rsidR="000C4565" w:rsidRPr="0037277D" w:rsidRDefault="000C4565" w:rsidP="000C4565">
            <w:pPr>
              <w:pStyle w:val="Standard"/>
              <w:jc w:val="both"/>
              <w:rPr>
                <w:bCs/>
                <w:sz w:val="22"/>
              </w:rPr>
            </w:pPr>
            <w:r w:rsidRPr="000C4565">
              <w:rPr>
                <w:bCs/>
                <w:sz w:val="22"/>
              </w:rPr>
              <w:t>b)</w:t>
            </w:r>
            <w:r w:rsidR="005010D9">
              <w:rPr>
                <w:bCs/>
                <w:sz w:val="22"/>
              </w:rPr>
              <w:t xml:space="preserve"> </w:t>
            </w:r>
            <w:proofErr w:type="gramStart"/>
            <w:r w:rsidRPr="000C4565">
              <w:rPr>
                <w:bCs/>
                <w:sz w:val="22"/>
              </w:rPr>
              <w:t>paredzot, ka kritērija efektīvai izvērtēšanai projekta iesniedzējam ir jāiesniedz konkrēti dokumenti un jānodrošina pietiekama gatavības</w:t>
            </w:r>
            <w:proofErr w:type="gramEnd"/>
            <w:r w:rsidRPr="000C4565">
              <w:rPr>
                <w:bCs/>
                <w:sz w:val="22"/>
              </w:rPr>
              <w:t xml:space="preserve"> pakāpi.</w:t>
            </w:r>
          </w:p>
        </w:tc>
        <w:tc>
          <w:tcPr>
            <w:tcW w:w="2563" w:type="dxa"/>
          </w:tcPr>
          <w:p w14:paraId="6DB36C55" w14:textId="38588D0E" w:rsidR="000C4565" w:rsidRDefault="000C4565" w:rsidP="0055417B">
            <w:pPr>
              <w:pStyle w:val="Standard"/>
              <w:jc w:val="both"/>
              <w:rPr>
                <w:sz w:val="22"/>
              </w:rPr>
            </w:pPr>
            <w:r>
              <w:rPr>
                <w:sz w:val="22"/>
              </w:rPr>
              <w:t>Ņemts vērā</w:t>
            </w:r>
          </w:p>
        </w:tc>
        <w:tc>
          <w:tcPr>
            <w:tcW w:w="3702" w:type="dxa"/>
          </w:tcPr>
          <w:p w14:paraId="174FED8C" w14:textId="51EAAFF4" w:rsidR="000C4565" w:rsidRDefault="000C4565" w:rsidP="0055417B">
            <w:pPr>
              <w:pStyle w:val="Standard"/>
              <w:jc w:val="both"/>
              <w:rPr>
                <w:sz w:val="22"/>
              </w:rPr>
            </w:pPr>
            <w:r>
              <w:rPr>
                <w:sz w:val="22"/>
              </w:rPr>
              <w:t xml:space="preserve">Kritērijs Nr.2.2. </w:t>
            </w:r>
            <w:r w:rsidR="005010D9">
              <w:rPr>
                <w:sz w:val="22"/>
              </w:rPr>
              <w:t>papildināts: “</w:t>
            </w:r>
            <w:r w:rsidR="005010D9" w:rsidRPr="005010D9">
              <w:rPr>
                <w:sz w:val="22"/>
              </w:rPr>
              <w:t>Izvērtēšanas kompetenci par risinājumu atbilstību plānots uzticēt nozares, jomas ekspertam. Kritērija efektīvai izvērtēšanai projekta iesniedzējam ir jāiesniedz konkrēti dokumenti un jānodrošina pietiekama gatavības pakāp</w:t>
            </w:r>
            <w:r w:rsidR="005010D9">
              <w:rPr>
                <w:sz w:val="22"/>
              </w:rPr>
              <w:t>e”</w:t>
            </w:r>
          </w:p>
        </w:tc>
      </w:tr>
      <w:tr w:rsidR="005010D9" w:rsidRPr="000054D9" w14:paraId="657AFEEC" w14:textId="77777777" w:rsidTr="0037277D">
        <w:tc>
          <w:tcPr>
            <w:tcW w:w="555" w:type="dxa"/>
          </w:tcPr>
          <w:p w14:paraId="7991A3FC" w14:textId="77777777" w:rsidR="005010D9" w:rsidRPr="000054D9" w:rsidRDefault="005010D9" w:rsidP="0055417B">
            <w:pPr>
              <w:pStyle w:val="Standard"/>
              <w:numPr>
                <w:ilvl w:val="0"/>
                <w:numId w:val="13"/>
              </w:numPr>
              <w:ind w:hanging="1049"/>
              <w:jc w:val="center"/>
              <w:rPr>
                <w:b/>
                <w:bCs/>
                <w:sz w:val="22"/>
              </w:rPr>
            </w:pPr>
          </w:p>
        </w:tc>
        <w:tc>
          <w:tcPr>
            <w:tcW w:w="1980" w:type="dxa"/>
          </w:tcPr>
          <w:p w14:paraId="634CF20E" w14:textId="0980C743" w:rsidR="005010D9" w:rsidRDefault="005010D9" w:rsidP="0055417B">
            <w:pPr>
              <w:pStyle w:val="Standard"/>
              <w:jc w:val="both"/>
              <w:rPr>
                <w:b/>
                <w:bCs/>
                <w:sz w:val="22"/>
              </w:rPr>
            </w:pPr>
            <w:r>
              <w:rPr>
                <w:b/>
                <w:bCs/>
                <w:sz w:val="22"/>
              </w:rPr>
              <w:t>Horizontālo principu kritēriji</w:t>
            </w:r>
          </w:p>
        </w:tc>
        <w:tc>
          <w:tcPr>
            <w:tcW w:w="5148" w:type="dxa"/>
          </w:tcPr>
          <w:p w14:paraId="19EEF880" w14:textId="38487808" w:rsidR="005010D9" w:rsidRPr="000C4565" w:rsidRDefault="005010D9" w:rsidP="000C4565">
            <w:pPr>
              <w:pStyle w:val="Standard"/>
              <w:jc w:val="both"/>
              <w:rPr>
                <w:bCs/>
                <w:sz w:val="22"/>
              </w:rPr>
            </w:pPr>
            <w:r w:rsidRPr="005010D9">
              <w:rPr>
                <w:bCs/>
                <w:sz w:val="22"/>
              </w:rPr>
              <w:t>Kritēriju nosaukumus un skaidrojošo aprakstu precizēt atbilstoši 3.1.metodikai.</w:t>
            </w:r>
          </w:p>
        </w:tc>
        <w:tc>
          <w:tcPr>
            <w:tcW w:w="2563" w:type="dxa"/>
          </w:tcPr>
          <w:p w14:paraId="7FC0122D" w14:textId="44288A0A" w:rsidR="005010D9" w:rsidRDefault="005010D9" w:rsidP="0055417B">
            <w:pPr>
              <w:pStyle w:val="Standard"/>
              <w:jc w:val="both"/>
              <w:rPr>
                <w:sz w:val="22"/>
              </w:rPr>
            </w:pPr>
            <w:r>
              <w:rPr>
                <w:sz w:val="22"/>
              </w:rPr>
              <w:t>Ņemts vērā</w:t>
            </w:r>
          </w:p>
        </w:tc>
        <w:tc>
          <w:tcPr>
            <w:tcW w:w="3702" w:type="dxa"/>
          </w:tcPr>
          <w:p w14:paraId="068633B9" w14:textId="77777777" w:rsidR="005010D9" w:rsidRDefault="005010D9" w:rsidP="0055417B">
            <w:pPr>
              <w:pStyle w:val="Standard"/>
              <w:jc w:val="both"/>
              <w:rPr>
                <w:sz w:val="22"/>
              </w:rPr>
            </w:pPr>
          </w:p>
        </w:tc>
      </w:tr>
      <w:tr w:rsidR="005010D9" w:rsidRPr="000054D9" w14:paraId="57B7D3AD" w14:textId="77777777" w:rsidTr="0037277D">
        <w:tc>
          <w:tcPr>
            <w:tcW w:w="555" w:type="dxa"/>
          </w:tcPr>
          <w:p w14:paraId="3B4FDB87" w14:textId="77777777" w:rsidR="005010D9" w:rsidRPr="000054D9" w:rsidRDefault="005010D9" w:rsidP="0055417B">
            <w:pPr>
              <w:pStyle w:val="Standard"/>
              <w:numPr>
                <w:ilvl w:val="0"/>
                <w:numId w:val="13"/>
              </w:numPr>
              <w:ind w:hanging="1049"/>
              <w:jc w:val="center"/>
              <w:rPr>
                <w:b/>
                <w:bCs/>
                <w:sz w:val="22"/>
              </w:rPr>
            </w:pPr>
          </w:p>
        </w:tc>
        <w:tc>
          <w:tcPr>
            <w:tcW w:w="1980" w:type="dxa"/>
          </w:tcPr>
          <w:p w14:paraId="01A595BA" w14:textId="4673E153" w:rsidR="005010D9" w:rsidRDefault="005010D9" w:rsidP="0055417B">
            <w:pPr>
              <w:pStyle w:val="Standard"/>
              <w:jc w:val="both"/>
              <w:rPr>
                <w:b/>
                <w:bCs/>
                <w:sz w:val="22"/>
              </w:rPr>
            </w:pPr>
            <w:r>
              <w:rPr>
                <w:b/>
                <w:bCs/>
                <w:sz w:val="22"/>
              </w:rPr>
              <w:t>MKN</w:t>
            </w:r>
          </w:p>
        </w:tc>
        <w:tc>
          <w:tcPr>
            <w:tcW w:w="5148" w:type="dxa"/>
          </w:tcPr>
          <w:p w14:paraId="486D9F37" w14:textId="686DD31D" w:rsidR="005010D9" w:rsidRPr="005010D9" w:rsidRDefault="005010D9" w:rsidP="000C4565">
            <w:pPr>
              <w:pStyle w:val="Standard"/>
              <w:jc w:val="both"/>
              <w:rPr>
                <w:bCs/>
                <w:sz w:val="22"/>
              </w:rPr>
            </w:pPr>
            <w:r w:rsidRPr="005010D9">
              <w:rPr>
                <w:bCs/>
                <w:sz w:val="22"/>
              </w:rPr>
              <w:t>Aicinām</w:t>
            </w:r>
            <w:proofErr w:type="gramStart"/>
            <w:r w:rsidRPr="005010D9">
              <w:rPr>
                <w:bCs/>
                <w:sz w:val="22"/>
              </w:rPr>
              <w:t xml:space="preserve">  </w:t>
            </w:r>
            <w:proofErr w:type="gramEnd"/>
            <w:r w:rsidRPr="005010D9">
              <w:rPr>
                <w:bCs/>
                <w:sz w:val="22"/>
              </w:rPr>
              <w:t>MKN caur attiecināmības nosacījumiem iestrādāt prasību par projektu iesniegumu gatavības pakāpi un prasību par īpašumtiesībām arī transportlīdzekļiem.</w:t>
            </w:r>
          </w:p>
        </w:tc>
        <w:tc>
          <w:tcPr>
            <w:tcW w:w="2563" w:type="dxa"/>
          </w:tcPr>
          <w:p w14:paraId="3081E5FC" w14:textId="749E20E4" w:rsidR="005010D9" w:rsidRDefault="007B3447" w:rsidP="0055417B">
            <w:pPr>
              <w:pStyle w:val="Standard"/>
              <w:jc w:val="both"/>
              <w:rPr>
                <w:sz w:val="22"/>
              </w:rPr>
            </w:pPr>
            <w:r>
              <w:rPr>
                <w:sz w:val="22"/>
              </w:rPr>
              <w:t>Ņemts vērā</w:t>
            </w:r>
          </w:p>
        </w:tc>
        <w:tc>
          <w:tcPr>
            <w:tcW w:w="3702" w:type="dxa"/>
          </w:tcPr>
          <w:p w14:paraId="0260D429" w14:textId="47D74773" w:rsidR="005010D9" w:rsidRDefault="007B3447" w:rsidP="0055417B">
            <w:pPr>
              <w:pStyle w:val="Standard"/>
              <w:jc w:val="both"/>
              <w:rPr>
                <w:sz w:val="22"/>
              </w:rPr>
            </w:pPr>
            <w:r>
              <w:rPr>
                <w:sz w:val="22"/>
              </w:rPr>
              <w:t>Gan MKN, gan kritēriju vērtēšanas metodika tika papildināta ar katra projekta gatavības pakāpi.</w:t>
            </w:r>
          </w:p>
        </w:tc>
      </w:tr>
      <w:tr w:rsidR="00CF7CCC" w:rsidRPr="000054D9" w14:paraId="2E7A0CF3" w14:textId="77777777" w:rsidTr="0037277D">
        <w:tc>
          <w:tcPr>
            <w:tcW w:w="555" w:type="dxa"/>
          </w:tcPr>
          <w:p w14:paraId="618AC190" w14:textId="77777777" w:rsidR="00CF7CCC" w:rsidRPr="000054D9" w:rsidRDefault="00CF7CCC" w:rsidP="0055417B">
            <w:pPr>
              <w:pStyle w:val="Standard"/>
              <w:numPr>
                <w:ilvl w:val="0"/>
                <w:numId w:val="13"/>
              </w:numPr>
              <w:ind w:hanging="1049"/>
              <w:jc w:val="center"/>
              <w:rPr>
                <w:b/>
                <w:bCs/>
                <w:sz w:val="22"/>
              </w:rPr>
            </w:pPr>
          </w:p>
        </w:tc>
        <w:tc>
          <w:tcPr>
            <w:tcW w:w="1980" w:type="dxa"/>
          </w:tcPr>
          <w:p w14:paraId="23309738" w14:textId="1CD52BFA" w:rsidR="00CF7CCC" w:rsidRDefault="00CF7CCC" w:rsidP="0055417B">
            <w:pPr>
              <w:pStyle w:val="Standard"/>
              <w:jc w:val="both"/>
              <w:rPr>
                <w:b/>
                <w:bCs/>
                <w:sz w:val="22"/>
              </w:rPr>
            </w:pPr>
            <w:r>
              <w:rPr>
                <w:b/>
                <w:bCs/>
                <w:sz w:val="22"/>
              </w:rPr>
              <w:t>MKN</w:t>
            </w:r>
          </w:p>
        </w:tc>
        <w:tc>
          <w:tcPr>
            <w:tcW w:w="5148" w:type="dxa"/>
          </w:tcPr>
          <w:p w14:paraId="1A25F405" w14:textId="76F2E0AB" w:rsidR="00CF7CCC" w:rsidRPr="005010D9" w:rsidRDefault="00CF7CCC" w:rsidP="000C4565">
            <w:pPr>
              <w:pStyle w:val="Standard"/>
              <w:jc w:val="both"/>
              <w:rPr>
                <w:bCs/>
                <w:sz w:val="22"/>
              </w:rPr>
            </w:pPr>
            <w:r w:rsidRPr="00CF7CCC">
              <w:rPr>
                <w:bCs/>
                <w:sz w:val="22"/>
              </w:rPr>
              <w:t>Lūgums iesniegt MKN projekta 33.puntkā minēto kārtību, ja tāda ir jau izstrādāta.</w:t>
            </w:r>
          </w:p>
        </w:tc>
        <w:tc>
          <w:tcPr>
            <w:tcW w:w="2563" w:type="dxa"/>
          </w:tcPr>
          <w:p w14:paraId="3D0F31E4" w14:textId="3C50E3EC" w:rsidR="00CF7CCC" w:rsidRDefault="00CF7CCC" w:rsidP="0055417B">
            <w:pPr>
              <w:pStyle w:val="Standard"/>
              <w:jc w:val="both"/>
              <w:rPr>
                <w:sz w:val="22"/>
              </w:rPr>
            </w:pPr>
            <w:r>
              <w:rPr>
                <w:sz w:val="22"/>
              </w:rPr>
              <w:t>Sniegts skaidrojums</w:t>
            </w:r>
          </w:p>
        </w:tc>
        <w:tc>
          <w:tcPr>
            <w:tcW w:w="3702" w:type="dxa"/>
          </w:tcPr>
          <w:p w14:paraId="0AF9DC03" w14:textId="58388C12" w:rsidR="00CF7CCC" w:rsidRDefault="00CF7CCC" w:rsidP="0055417B">
            <w:pPr>
              <w:pStyle w:val="Standard"/>
              <w:jc w:val="both"/>
              <w:rPr>
                <w:sz w:val="22"/>
              </w:rPr>
            </w:pPr>
            <w:r>
              <w:rPr>
                <w:sz w:val="22"/>
              </w:rPr>
              <w:t>33. punktā minētā kārtība vēl ir izstrādes procesā.</w:t>
            </w:r>
          </w:p>
        </w:tc>
      </w:tr>
      <w:tr w:rsidR="00CF7CCC" w:rsidRPr="000054D9" w14:paraId="5E9AE140" w14:textId="77777777" w:rsidTr="0037277D">
        <w:tc>
          <w:tcPr>
            <w:tcW w:w="555" w:type="dxa"/>
          </w:tcPr>
          <w:p w14:paraId="0A1BD6D5" w14:textId="77777777" w:rsidR="00CF7CCC" w:rsidRPr="000054D9" w:rsidRDefault="00CF7CCC" w:rsidP="0055417B">
            <w:pPr>
              <w:pStyle w:val="Standard"/>
              <w:numPr>
                <w:ilvl w:val="0"/>
                <w:numId w:val="13"/>
              </w:numPr>
              <w:ind w:hanging="1049"/>
              <w:jc w:val="center"/>
              <w:rPr>
                <w:b/>
                <w:bCs/>
                <w:sz w:val="22"/>
              </w:rPr>
            </w:pPr>
          </w:p>
        </w:tc>
        <w:tc>
          <w:tcPr>
            <w:tcW w:w="1980" w:type="dxa"/>
          </w:tcPr>
          <w:p w14:paraId="690D5FD9" w14:textId="005FB4C3" w:rsidR="00CF7CCC" w:rsidRDefault="00CF7CCC" w:rsidP="0055417B">
            <w:pPr>
              <w:pStyle w:val="Standard"/>
              <w:jc w:val="both"/>
              <w:rPr>
                <w:b/>
                <w:bCs/>
                <w:sz w:val="22"/>
              </w:rPr>
            </w:pPr>
            <w:r>
              <w:rPr>
                <w:b/>
                <w:bCs/>
                <w:sz w:val="22"/>
              </w:rPr>
              <w:t>MKN</w:t>
            </w:r>
          </w:p>
        </w:tc>
        <w:tc>
          <w:tcPr>
            <w:tcW w:w="5148" w:type="dxa"/>
          </w:tcPr>
          <w:p w14:paraId="41230A0F" w14:textId="12A9AE34" w:rsidR="00CF7CCC" w:rsidRPr="00CF7CCC" w:rsidRDefault="00CF7CCC" w:rsidP="000C4565">
            <w:pPr>
              <w:pStyle w:val="Standard"/>
              <w:jc w:val="both"/>
              <w:rPr>
                <w:bCs/>
                <w:sz w:val="22"/>
              </w:rPr>
            </w:pPr>
            <w:r w:rsidRPr="00CF7CCC">
              <w:rPr>
                <w:bCs/>
                <w:sz w:val="22"/>
              </w:rPr>
              <w:t xml:space="preserve">MKN 20.2.un 20.3.apakšpuntkā norādītās darbībās norādīt kā 20.1. </w:t>
            </w:r>
            <w:proofErr w:type="spellStart"/>
            <w:r w:rsidRPr="00CF7CCC">
              <w:rPr>
                <w:bCs/>
                <w:sz w:val="22"/>
              </w:rPr>
              <w:t>apakšdarbības</w:t>
            </w:r>
            <w:proofErr w:type="spellEnd"/>
            <w:r w:rsidRPr="00CF7CCC">
              <w:rPr>
                <w:bCs/>
                <w:sz w:val="22"/>
              </w:rPr>
              <w:t>.</w:t>
            </w:r>
          </w:p>
        </w:tc>
        <w:tc>
          <w:tcPr>
            <w:tcW w:w="2563" w:type="dxa"/>
          </w:tcPr>
          <w:p w14:paraId="7845AF72" w14:textId="77777777" w:rsidR="00CF7CCC" w:rsidRDefault="00CF7CCC" w:rsidP="0055417B">
            <w:pPr>
              <w:pStyle w:val="Standard"/>
              <w:jc w:val="both"/>
              <w:rPr>
                <w:sz w:val="22"/>
              </w:rPr>
            </w:pPr>
          </w:p>
        </w:tc>
        <w:tc>
          <w:tcPr>
            <w:tcW w:w="3702" w:type="dxa"/>
          </w:tcPr>
          <w:p w14:paraId="2468ABFD" w14:textId="77777777" w:rsidR="00CF7CCC" w:rsidRDefault="00CF7CCC" w:rsidP="0055417B">
            <w:pPr>
              <w:pStyle w:val="Standard"/>
              <w:jc w:val="both"/>
              <w:rPr>
                <w:sz w:val="22"/>
              </w:rPr>
            </w:pPr>
          </w:p>
        </w:tc>
      </w:tr>
      <w:tr w:rsidR="00A55A07" w:rsidRPr="000054D9" w14:paraId="771CEA52" w14:textId="77777777" w:rsidTr="0037277D">
        <w:tc>
          <w:tcPr>
            <w:tcW w:w="555" w:type="dxa"/>
          </w:tcPr>
          <w:p w14:paraId="057A6C77" w14:textId="77777777" w:rsidR="00A55A07" w:rsidRPr="000054D9" w:rsidRDefault="00A55A07" w:rsidP="0055417B">
            <w:pPr>
              <w:pStyle w:val="Standard"/>
              <w:numPr>
                <w:ilvl w:val="0"/>
                <w:numId w:val="13"/>
              </w:numPr>
              <w:ind w:hanging="1049"/>
              <w:jc w:val="center"/>
              <w:rPr>
                <w:b/>
                <w:bCs/>
                <w:sz w:val="22"/>
              </w:rPr>
            </w:pPr>
          </w:p>
        </w:tc>
        <w:tc>
          <w:tcPr>
            <w:tcW w:w="1980" w:type="dxa"/>
          </w:tcPr>
          <w:p w14:paraId="449FC681" w14:textId="4959A5F8" w:rsidR="00A55A07" w:rsidRDefault="00A55A07" w:rsidP="0055417B">
            <w:pPr>
              <w:pStyle w:val="Standard"/>
              <w:jc w:val="both"/>
              <w:rPr>
                <w:b/>
                <w:bCs/>
                <w:sz w:val="22"/>
              </w:rPr>
            </w:pPr>
            <w:r>
              <w:rPr>
                <w:b/>
                <w:bCs/>
                <w:sz w:val="22"/>
              </w:rPr>
              <w:t>Anotācija</w:t>
            </w:r>
          </w:p>
        </w:tc>
        <w:tc>
          <w:tcPr>
            <w:tcW w:w="5148" w:type="dxa"/>
          </w:tcPr>
          <w:p w14:paraId="408F2252" w14:textId="784D5D9B" w:rsidR="00A55A07" w:rsidRPr="005010D9" w:rsidRDefault="00A55A07" w:rsidP="000C4565">
            <w:pPr>
              <w:pStyle w:val="Standard"/>
              <w:jc w:val="both"/>
              <w:rPr>
                <w:bCs/>
                <w:sz w:val="22"/>
              </w:rPr>
            </w:pPr>
            <w:r>
              <w:t xml:space="preserve">Anotācijā sadaļā “Risinājuma apraksts” ir norādīts, ka elastības </w:t>
            </w:r>
            <w:proofErr w:type="spellStart"/>
            <w:r>
              <w:t>koeficioents</w:t>
            </w:r>
            <w:proofErr w:type="spellEnd"/>
            <w:r>
              <w:t xml:space="preserve"> tiks piemērot programmas 5.kārtai. Vai tas nozīmē, ka  ir paredzētas vēl 4. un 5.kārtas?</w:t>
            </w:r>
          </w:p>
        </w:tc>
        <w:tc>
          <w:tcPr>
            <w:tcW w:w="2563" w:type="dxa"/>
          </w:tcPr>
          <w:p w14:paraId="4E248D5D" w14:textId="2EFEDEA4" w:rsidR="00A55A07" w:rsidRDefault="00CF7CCC" w:rsidP="0055417B">
            <w:pPr>
              <w:pStyle w:val="Standard"/>
              <w:jc w:val="both"/>
              <w:rPr>
                <w:sz w:val="22"/>
              </w:rPr>
            </w:pPr>
            <w:r>
              <w:rPr>
                <w:sz w:val="22"/>
              </w:rPr>
              <w:t>Sniegts skaidrojums</w:t>
            </w:r>
          </w:p>
        </w:tc>
        <w:tc>
          <w:tcPr>
            <w:tcW w:w="3702" w:type="dxa"/>
          </w:tcPr>
          <w:p w14:paraId="6B500000" w14:textId="47A2897B" w:rsidR="00A55A07" w:rsidRDefault="00CF7CCC" w:rsidP="0055417B">
            <w:pPr>
              <w:pStyle w:val="Standard"/>
              <w:jc w:val="both"/>
              <w:rPr>
                <w:sz w:val="22"/>
              </w:rPr>
            </w:pPr>
            <w:r>
              <w:rPr>
                <w:sz w:val="22"/>
              </w:rPr>
              <w:t>4. kārtas ietvaros tiks ieviesta Katastrofu zaudējumu informācijas sistēma, savukārt 5. kārtas ietvaros paredzēts iegādāties smagos TL VUGD vajadzībām.</w:t>
            </w:r>
          </w:p>
        </w:tc>
      </w:tr>
    </w:tbl>
    <w:p w14:paraId="4764F384" w14:textId="06DEDADC" w:rsidR="00A57181" w:rsidRDefault="00A57181" w:rsidP="00137F01">
      <w:pPr>
        <w:pStyle w:val="Standard"/>
        <w:shd w:val="clear" w:color="auto" w:fill="FFFFFF"/>
        <w:jc w:val="center"/>
        <w:rPr>
          <w:szCs w:val="24"/>
        </w:rPr>
      </w:pPr>
    </w:p>
    <w:p w14:paraId="46F21B0E" w14:textId="77777777" w:rsidR="00137F01" w:rsidRDefault="00137F01" w:rsidP="00137F01"/>
    <w:p w14:paraId="69EB424D" w14:textId="77777777" w:rsidR="0095483D" w:rsidRDefault="0095483D"/>
    <w:sectPr w:rsidR="0095483D" w:rsidSect="00A57181">
      <w:headerReference w:type="default" r:id="rId7"/>
      <w:footerReference w:type="default" r:id="rId8"/>
      <w:pgSz w:w="16838" w:h="11906" w:orient="landscape"/>
      <w:pgMar w:top="1134" w:right="1440" w:bottom="993" w:left="1440" w:header="708"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B7E63" w14:textId="77777777" w:rsidR="00422770" w:rsidRDefault="00422770" w:rsidP="00137F01">
      <w:r>
        <w:separator/>
      </w:r>
    </w:p>
  </w:endnote>
  <w:endnote w:type="continuationSeparator" w:id="0">
    <w:p w14:paraId="67001066" w14:textId="77777777" w:rsidR="00422770" w:rsidRDefault="00422770" w:rsidP="0013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40398"/>
      <w:docPartObj>
        <w:docPartGallery w:val="Page Numbers (Bottom of Page)"/>
        <w:docPartUnique/>
      </w:docPartObj>
    </w:sdtPr>
    <w:sdtEndPr>
      <w:rPr>
        <w:noProof/>
      </w:rPr>
    </w:sdtEndPr>
    <w:sdtContent>
      <w:p w14:paraId="717C0BD6" w14:textId="1EFABF2C" w:rsidR="00A57181" w:rsidRDefault="00A57181">
        <w:pPr>
          <w:pStyle w:val="Footer"/>
          <w:jc w:val="center"/>
        </w:pPr>
        <w:r>
          <w:fldChar w:fldCharType="begin"/>
        </w:r>
        <w:r>
          <w:instrText xml:space="preserve"> PAGE   \* MERGEFORMAT </w:instrText>
        </w:r>
        <w:r>
          <w:fldChar w:fldCharType="separate"/>
        </w:r>
        <w:r w:rsidR="00041E01">
          <w:rPr>
            <w:noProof/>
          </w:rPr>
          <w:t>1</w:t>
        </w:r>
        <w:r>
          <w:rPr>
            <w:noProof/>
          </w:rPr>
          <w:fldChar w:fldCharType="end"/>
        </w:r>
      </w:p>
    </w:sdtContent>
  </w:sdt>
  <w:p w14:paraId="183E44C5" w14:textId="77777777" w:rsidR="00FA15F7" w:rsidRDefault="00FA1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29EA9" w14:textId="77777777" w:rsidR="00422770" w:rsidRDefault="00422770" w:rsidP="00137F01">
      <w:r>
        <w:separator/>
      </w:r>
    </w:p>
  </w:footnote>
  <w:footnote w:type="continuationSeparator" w:id="0">
    <w:p w14:paraId="359F07BE" w14:textId="77777777" w:rsidR="00422770" w:rsidRDefault="00422770" w:rsidP="0013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D089" w14:textId="16ADB9C9" w:rsidR="00FA15F7" w:rsidRPr="00137F01" w:rsidRDefault="00340749" w:rsidP="00911740">
    <w:pPr>
      <w:pStyle w:val="Header"/>
      <w:jc w:val="right"/>
      <w:rPr>
        <w:rFonts w:cs="Times New Roman"/>
        <w:i/>
        <w:szCs w:val="24"/>
      </w:rPr>
    </w:pPr>
    <w:r>
      <w:rPr>
        <w:rFonts w:cs="Times New Roman"/>
        <w:i/>
        <w:szCs w:val="24"/>
      </w:rPr>
      <w:t>Aktualizēts</w:t>
    </w:r>
    <w:r w:rsidR="00A57181" w:rsidRPr="00137F01">
      <w:rPr>
        <w:rFonts w:cs="Times New Roman"/>
        <w:i/>
        <w:szCs w:val="24"/>
      </w:rPr>
      <w:t xml:space="preserve"> </w:t>
    </w:r>
    <w:sdt>
      <w:sdtPr>
        <w:rPr>
          <w:rFonts w:cs="Times New Roman"/>
          <w:i/>
          <w:szCs w:val="24"/>
        </w:rPr>
        <w:id w:val="133991113"/>
        <w:placeholder>
          <w:docPart w:val="DefaultPlaceholder_-1854013437"/>
        </w:placeholder>
        <w:date w:fullDate="2023-10-11T00:00:00Z">
          <w:dateFormat w:val="dd.MM.yyyy"/>
          <w:lid w:val="lv-LV"/>
          <w:storeMappedDataAs w:val="dateTime"/>
          <w:calendar w:val="gregorian"/>
        </w:date>
      </w:sdtPr>
      <w:sdtEndPr/>
      <w:sdtContent>
        <w:r w:rsidR="008106B6">
          <w:rPr>
            <w:rFonts w:cs="Times New Roman"/>
            <w:i/>
            <w:szCs w:val="24"/>
          </w:rPr>
          <w:t>11.10.2023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2A0A"/>
    <w:multiLevelType w:val="hybridMultilevel"/>
    <w:tmpl w:val="D810A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E507D2"/>
    <w:multiLevelType w:val="hybridMultilevel"/>
    <w:tmpl w:val="7200F726"/>
    <w:lvl w:ilvl="0" w:tplc="3282FA42">
      <w:start w:val="8"/>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FDC042C"/>
    <w:multiLevelType w:val="hybridMultilevel"/>
    <w:tmpl w:val="8ED05C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6A5972"/>
    <w:multiLevelType w:val="hybridMultilevel"/>
    <w:tmpl w:val="2248A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744EC1"/>
    <w:multiLevelType w:val="hybridMultilevel"/>
    <w:tmpl w:val="A79449C8"/>
    <w:lvl w:ilvl="0" w:tplc="04260011">
      <w:start w:val="1"/>
      <w:numFmt w:val="decimal"/>
      <w:lvlText w:val="%1)"/>
      <w:lvlJc w:val="left"/>
      <w:pPr>
        <w:ind w:left="720" w:hanging="360"/>
      </w:pPr>
    </w:lvl>
    <w:lvl w:ilvl="1" w:tplc="1072324E">
      <w:start w:val="1"/>
      <w:numFmt w:val="lowerLetter"/>
      <w:lvlText w:val="%2)"/>
      <w:lvlJc w:val="left"/>
      <w:pPr>
        <w:ind w:left="1440" w:hanging="360"/>
      </w:pPr>
      <w:rPr>
        <w:rFonts w:ascii="Calibri" w:eastAsia="Calibri" w:hAnsi="Calibri" w:cs="Times New Roman"/>
        <w:b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13C7F74"/>
    <w:multiLevelType w:val="hybridMultilevel"/>
    <w:tmpl w:val="18500E1E"/>
    <w:lvl w:ilvl="0" w:tplc="D6C6FF88">
      <w:start w:val="1"/>
      <w:numFmt w:val="decimal"/>
      <w:lvlText w:val="%1."/>
      <w:lvlJc w:val="left"/>
      <w:pPr>
        <w:ind w:left="786"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36F930FB"/>
    <w:multiLevelType w:val="hybridMultilevel"/>
    <w:tmpl w:val="8C563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FB0711"/>
    <w:multiLevelType w:val="hybridMultilevel"/>
    <w:tmpl w:val="698EF84C"/>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07A07"/>
    <w:multiLevelType w:val="hybridMultilevel"/>
    <w:tmpl w:val="C6F4F66E"/>
    <w:lvl w:ilvl="0" w:tplc="7ECCF8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4B4850F6"/>
    <w:multiLevelType w:val="hybridMultilevel"/>
    <w:tmpl w:val="4630107A"/>
    <w:lvl w:ilvl="0" w:tplc="0426000B">
      <w:start w:val="1"/>
      <w:numFmt w:val="bullet"/>
      <w:lvlText w:val=""/>
      <w:lvlJc w:val="left"/>
      <w:pPr>
        <w:ind w:left="733" w:hanging="360"/>
      </w:pPr>
      <w:rPr>
        <w:rFonts w:ascii="Wingdings" w:hAnsi="Wingdings" w:hint="default"/>
      </w:rPr>
    </w:lvl>
    <w:lvl w:ilvl="1" w:tplc="04260003">
      <w:start w:val="1"/>
      <w:numFmt w:val="bullet"/>
      <w:lvlText w:val="o"/>
      <w:lvlJc w:val="left"/>
      <w:pPr>
        <w:ind w:left="1453" w:hanging="360"/>
      </w:pPr>
      <w:rPr>
        <w:rFonts w:ascii="Courier New" w:hAnsi="Courier New" w:cs="Courier New" w:hint="default"/>
      </w:rPr>
    </w:lvl>
    <w:lvl w:ilvl="2" w:tplc="04260005">
      <w:start w:val="1"/>
      <w:numFmt w:val="bullet"/>
      <w:lvlText w:val=""/>
      <w:lvlJc w:val="left"/>
      <w:pPr>
        <w:ind w:left="2173" w:hanging="360"/>
      </w:pPr>
      <w:rPr>
        <w:rFonts w:ascii="Wingdings" w:hAnsi="Wingdings" w:hint="default"/>
      </w:rPr>
    </w:lvl>
    <w:lvl w:ilvl="3" w:tplc="04260001">
      <w:start w:val="1"/>
      <w:numFmt w:val="bullet"/>
      <w:lvlText w:val=""/>
      <w:lvlJc w:val="left"/>
      <w:pPr>
        <w:ind w:left="2893" w:hanging="360"/>
      </w:pPr>
      <w:rPr>
        <w:rFonts w:ascii="Symbol" w:hAnsi="Symbol" w:hint="default"/>
      </w:rPr>
    </w:lvl>
    <w:lvl w:ilvl="4" w:tplc="04260003">
      <w:start w:val="1"/>
      <w:numFmt w:val="bullet"/>
      <w:lvlText w:val="o"/>
      <w:lvlJc w:val="left"/>
      <w:pPr>
        <w:ind w:left="3613" w:hanging="360"/>
      </w:pPr>
      <w:rPr>
        <w:rFonts w:ascii="Courier New" w:hAnsi="Courier New" w:cs="Courier New" w:hint="default"/>
      </w:rPr>
    </w:lvl>
    <w:lvl w:ilvl="5" w:tplc="04260005">
      <w:start w:val="1"/>
      <w:numFmt w:val="bullet"/>
      <w:lvlText w:val=""/>
      <w:lvlJc w:val="left"/>
      <w:pPr>
        <w:ind w:left="4333" w:hanging="360"/>
      </w:pPr>
      <w:rPr>
        <w:rFonts w:ascii="Wingdings" w:hAnsi="Wingdings" w:hint="default"/>
      </w:rPr>
    </w:lvl>
    <w:lvl w:ilvl="6" w:tplc="04260001">
      <w:start w:val="1"/>
      <w:numFmt w:val="bullet"/>
      <w:lvlText w:val=""/>
      <w:lvlJc w:val="left"/>
      <w:pPr>
        <w:ind w:left="5053" w:hanging="360"/>
      </w:pPr>
      <w:rPr>
        <w:rFonts w:ascii="Symbol" w:hAnsi="Symbol" w:hint="default"/>
      </w:rPr>
    </w:lvl>
    <w:lvl w:ilvl="7" w:tplc="04260003">
      <w:start w:val="1"/>
      <w:numFmt w:val="bullet"/>
      <w:lvlText w:val="o"/>
      <w:lvlJc w:val="left"/>
      <w:pPr>
        <w:ind w:left="5773" w:hanging="360"/>
      </w:pPr>
      <w:rPr>
        <w:rFonts w:ascii="Courier New" w:hAnsi="Courier New" w:cs="Courier New" w:hint="default"/>
      </w:rPr>
    </w:lvl>
    <w:lvl w:ilvl="8" w:tplc="04260005">
      <w:start w:val="1"/>
      <w:numFmt w:val="bullet"/>
      <w:lvlText w:val=""/>
      <w:lvlJc w:val="left"/>
      <w:pPr>
        <w:ind w:left="6493" w:hanging="360"/>
      </w:pPr>
      <w:rPr>
        <w:rFonts w:ascii="Wingdings" w:hAnsi="Wingdings" w:hint="default"/>
      </w:rPr>
    </w:lvl>
  </w:abstractNum>
  <w:abstractNum w:abstractNumId="10" w15:restartNumberingAfterBreak="0">
    <w:nsid w:val="4D796315"/>
    <w:multiLevelType w:val="hybridMultilevel"/>
    <w:tmpl w:val="A9CA2ECE"/>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85B5745"/>
    <w:multiLevelType w:val="hybridMultilevel"/>
    <w:tmpl w:val="806AD90C"/>
    <w:lvl w:ilvl="0" w:tplc="23D4093A">
      <w:start w:val="1"/>
      <w:numFmt w:val="bullet"/>
      <w:lvlText w:val=""/>
      <w:lvlJc w:val="left"/>
      <w:pPr>
        <w:ind w:left="0" w:firstLine="705"/>
      </w:pPr>
      <w:rPr>
        <w:strike w:val="0"/>
        <w:dstrike w:val="0"/>
        <w:u w:val="none"/>
        <w:effect w:val="none"/>
      </w:rPr>
    </w:lvl>
    <w:lvl w:ilvl="1" w:tplc="730E6FFA">
      <w:start w:val="1"/>
      <w:numFmt w:val="bullet"/>
      <w:lvlRestart w:val="0"/>
      <w:lvlText w:val=""/>
      <w:lvlJc w:val="left"/>
      <w:pPr>
        <w:ind w:left="0" w:firstLine="705"/>
      </w:pPr>
      <w:rPr>
        <w:strike w:val="0"/>
        <w:dstrike w:val="0"/>
        <w:u w:val="none"/>
        <w:effect w:val="none"/>
      </w:rPr>
    </w:lvl>
    <w:lvl w:ilvl="2" w:tplc="60C4DA92">
      <w:numFmt w:val="decimal"/>
      <w:lvlText w:val=""/>
      <w:lvlJc w:val="left"/>
      <w:pPr>
        <w:ind w:left="0" w:firstLine="0"/>
      </w:pPr>
    </w:lvl>
    <w:lvl w:ilvl="3" w:tplc="AAB469B0">
      <w:numFmt w:val="decimal"/>
      <w:lvlText w:val=""/>
      <w:lvlJc w:val="left"/>
      <w:pPr>
        <w:ind w:left="0" w:firstLine="0"/>
      </w:pPr>
    </w:lvl>
    <w:lvl w:ilvl="4" w:tplc="F8CA1C7A">
      <w:numFmt w:val="decimal"/>
      <w:lvlText w:val=""/>
      <w:lvlJc w:val="left"/>
      <w:pPr>
        <w:ind w:left="0" w:firstLine="0"/>
      </w:pPr>
    </w:lvl>
    <w:lvl w:ilvl="5" w:tplc="EEA01960">
      <w:numFmt w:val="decimal"/>
      <w:lvlText w:val=""/>
      <w:lvlJc w:val="left"/>
      <w:pPr>
        <w:ind w:left="0" w:firstLine="0"/>
      </w:pPr>
    </w:lvl>
    <w:lvl w:ilvl="6" w:tplc="C78CEC8A">
      <w:numFmt w:val="decimal"/>
      <w:lvlText w:val=""/>
      <w:lvlJc w:val="left"/>
      <w:pPr>
        <w:ind w:left="0" w:firstLine="0"/>
      </w:pPr>
    </w:lvl>
    <w:lvl w:ilvl="7" w:tplc="31D04B16">
      <w:numFmt w:val="decimal"/>
      <w:lvlText w:val=""/>
      <w:lvlJc w:val="left"/>
      <w:pPr>
        <w:ind w:left="0" w:firstLine="0"/>
      </w:pPr>
    </w:lvl>
    <w:lvl w:ilvl="8" w:tplc="E9842BCC">
      <w:numFmt w:val="decimal"/>
      <w:lvlText w:val=""/>
      <w:lvlJc w:val="left"/>
      <w:pPr>
        <w:ind w:left="0" w:firstLine="0"/>
      </w:pPr>
    </w:lvl>
  </w:abstractNum>
  <w:abstractNum w:abstractNumId="12" w15:restartNumberingAfterBreak="0">
    <w:nsid w:val="5E413BF8"/>
    <w:multiLevelType w:val="hybridMultilevel"/>
    <w:tmpl w:val="B03A3EAA"/>
    <w:lvl w:ilvl="0" w:tplc="6192B39C">
      <w:start w:val="1"/>
      <w:numFmt w:val="bullet"/>
      <w:lvlText w:val=""/>
      <w:lvlJc w:val="left"/>
      <w:pPr>
        <w:ind w:left="0" w:firstLine="705"/>
      </w:pPr>
      <w:rPr>
        <w:strike w:val="0"/>
        <w:dstrike w:val="0"/>
        <w:u w:val="none"/>
        <w:effect w:val="none"/>
      </w:rPr>
    </w:lvl>
    <w:lvl w:ilvl="1" w:tplc="127C9DFE">
      <w:start w:val="1"/>
      <w:numFmt w:val="bullet"/>
      <w:lvlRestart w:val="0"/>
      <w:lvlText w:val=""/>
      <w:lvlJc w:val="left"/>
      <w:pPr>
        <w:ind w:left="0" w:firstLine="705"/>
      </w:pPr>
      <w:rPr>
        <w:strike w:val="0"/>
        <w:dstrike w:val="0"/>
        <w:u w:val="none"/>
        <w:effect w:val="none"/>
      </w:rPr>
    </w:lvl>
    <w:lvl w:ilvl="2" w:tplc="A23C5648">
      <w:numFmt w:val="decimal"/>
      <w:lvlText w:val=""/>
      <w:lvlJc w:val="left"/>
      <w:pPr>
        <w:ind w:left="0" w:firstLine="0"/>
      </w:pPr>
    </w:lvl>
    <w:lvl w:ilvl="3" w:tplc="6A9C83AC">
      <w:numFmt w:val="decimal"/>
      <w:lvlText w:val=""/>
      <w:lvlJc w:val="left"/>
      <w:pPr>
        <w:ind w:left="0" w:firstLine="0"/>
      </w:pPr>
    </w:lvl>
    <w:lvl w:ilvl="4" w:tplc="DEF852C4">
      <w:numFmt w:val="decimal"/>
      <w:lvlText w:val=""/>
      <w:lvlJc w:val="left"/>
      <w:pPr>
        <w:ind w:left="0" w:firstLine="0"/>
      </w:pPr>
    </w:lvl>
    <w:lvl w:ilvl="5" w:tplc="99B8CCBC">
      <w:numFmt w:val="decimal"/>
      <w:lvlText w:val=""/>
      <w:lvlJc w:val="left"/>
      <w:pPr>
        <w:ind w:left="0" w:firstLine="0"/>
      </w:pPr>
    </w:lvl>
    <w:lvl w:ilvl="6" w:tplc="E63C1366">
      <w:numFmt w:val="decimal"/>
      <w:lvlText w:val=""/>
      <w:lvlJc w:val="left"/>
      <w:pPr>
        <w:ind w:left="0" w:firstLine="0"/>
      </w:pPr>
    </w:lvl>
    <w:lvl w:ilvl="7" w:tplc="A57E7A66">
      <w:numFmt w:val="decimal"/>
      <w:lvlText w:val=""/>
      <w:lvlJc w:val="left"/>
      <w:pPr>
        <w:ind w:left="0" w:firstLine="0"/>
      </w:pPr>
    </w:lvl>
    <w:lvl w:ilvl="8" w:tplc="3DB6C0AC">
      <w:numFmt w:val="decimal"/>
      <w:lvlText w:val=""/>
      <w:lvlJc w:val="left"/>
      <w:pPr>
        <w:ind w:left="0" w:firstLine="0"/>
      </w:pPr>
    </w:lvl>
  </w:abstractNum>
  <w:abstractNum w:abstractNumId="13" w15:restartNumberingAfterBreak="0">
    <w:nsid w:val="73EE3F35"/>
    <w:multiLevelType w:val="hybridMultilevel"/>
    <w:tmpl w:val="29F4F4B2"/>
    <w:lvl w:ilvl="0" w:tplc="F8AC7EAE">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0"/>
  </w:num>
  <w:num w:numId="11">
    <w:abstractNumId w:val="3"/>
  </w:num>
  <w:num w:numId="12">
    <w:abstractNumId w:val="10"/>
  </w:num>
  <w:num w:numId="13">
    <w:abstractNumId w:val="7"/>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01"/>
    <w:rsid w:val="00002E6D"/>
    <w:rsid w:val="000054D9"/>
    <w:rsid w:val="00041E01"/>
    <w:rsid w:val="000513BF"/>
    <w:rsid w:val="000C4565"/>
    <w:rsid w:val="00137F01"/>
    <w:rsid w:val="00193DB2"/>
    <w:rsid w:val="001E4835"/>
    <w:rsid w:val="00213D32"/>
    <w:rsid w:val="00256504"/>
    <w:rsid w:val="002A2721"/>
    <w:rsid w:val="002B2392"/>
    <w:rsid w:val="00336BAC"/>
    <w:rsid w:val="00340749"/>
    <w:rsid w:val="0037277D"/>
    <w:rsid w:val="003A52A4"/>
    <w:rsid w:val="003F16D6"/>
    <w:rsid w:val="00414C68"/>
    <w:rsid w:val="00422770"/>
    <w:rsid w:val="005010D9"/>
    <w:rsid w:val="005412B5"/>
    <w:rsid w:val="0055417B"/>
    <w:rsid w:val="005B4D66"/>
    <w:rsid w:val="005D3D5B"/>
    <w:rsid w:val="00684E6E"/>
    <w:rsid w:val="006B330C"/>
    <w:rsid w:val="00712A52"/>
    <w:rsid w:val="00744CEA"/>
    <w:rsid w:val="007B3447"/>
    <w:rsid w:val="007D1FB0"/>
    <w:rsid w:val="008106B6"/>
    <w:rsid w:val="00835101"/>
    <w:rsid w:val="008B4943"/>
    <w:rsid w:val="008C054F"/>
    <w:rsid w:val="0095483D"/>
    <w:rsid w:val="00982CCE"/>
    <w:rsid w:val="00A55A07"/>
    <w:rsid w:val="00A57181"/>
    <w:rsid w:val="00B50065"/>
    <w:rsid w:val="00BA461D"/>
    <w:rsid w:val="00C239ED"/>
    <w:rsid w:val="00C54922"/>
    <w:rsid w:val="00C8244A"/>
    <w:rsid w:val="00CB1068"/>
    <w:rsid w:val="00CF7CCC"/>
    <w:rsid w:val="00D131E8"/>
    <w:rsid w:val="00D2118D"/>
    <w:rsid w:val="00E02C04"/>
    <w:rsid w:val="00EB0909"/>
    <w:rsid w:val="00EC150F"/>
    <w:rsid w:val="00F30DCA"/>
    <w:rsid w:val="00F45F8E"/>
    <w:rsid w:val="00F6541D"/>
    <w:rsid w:val="00FA15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9704F"/>
  <w15:chartTrackingRefBased/>
  <w15:docId w15:val="{FE1474CF-4EA2-479A-B552-19F31A47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4"/>
        <w:szCs w:val="24"/>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F01"/>
    <w:pPr>
      <w:widowControl w:val="0"/>
      <w:suppressAutoHyphens/>
      <w:autoSpaceDN w:val="0"/>
      <w:spacing w:after="0" w:line="240" w:lineRule="auto"/>
      <w:textAlignment w:val="baseline"/>
    </w:pPr>
    <w:rPr>
      <w:rFonts w:eastAsia="SimSun" w:cs="F"/>
      <w:kern w:val="3"/>
      <w:szCs w:val="22"/>
      <w14:ligatures w14:val="none"/>
    </w:rPr>
  </w:style>
  <w:style w:type="paragraph" w:styleId="Heading1">
    <w:name w:val="heading 1"/>
    <w:next w:val="Normal"/>
    <w:link w:val="Heading1Char"/>
    <w:qFormat/>
    <w:rsid w:val="00137F01"/>
    <w:pPr>
      <w:keepNext/>
      <w:spacing w:after="0" w:line="240" w:lineRule="auto"/>
      <w:outlineLvl w:val="0"/>
    </w:pPr>
    <w:rPr>
      <w:rFonts w:ascii="Helvetica" w:eastAsia="ヒラギノ角ゴ Pro W3" w:hAnsi="Helvetica"/>
      <w:b/>
      <w:color w:val="000000"/>
      <w:kern w:val="0"/>
      <w:sz w:val="36"/>
      <w:szCs w:val="20"/>
      <w:lang w:val="en-US"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F01"/>
    <w:rPr>
      <w:rFonts w:ascii="Helvetica" w:eastAsia="ヒラギノ角ゴ Pro W3" w:hAnsi="Helvetica"/>
      <w:b/>
      <w:color w:val="000000"/>
      <w:kern w:val="0"/>
      <w:sz w:val="36"/>
      <w:szCs w:val="20"/>
      <w:lang w:val="en-US" w:eastAsia="lv-LV"/>
      <w14:ligatures w14:val="none"/>
    </w:rPr>
  </w:style>
  <w:style w:type="paragraph" w:customStyle="1" w:styleId="Standard">
    <w:name w:val="Standard"/>
    <w:rsid w:val="00137F01"/>
    <w:pPr>
      <w:suppressAutoHyphens/>
      <w:autoSpaceDN w:val="0"/>
      <w:spacing w:after="0" w:line="240" w:lineRule="auto"/>
      <w:textAlignment w:val="baseline"/>
    </w:pPr>
    <w:rPr>
      <w:rFonts w:eastAsia="Calibri"/>
      <w:kern w:val="3"/>
      <w:szCs w:val="22"/>
      <w14:ligatures w14:val="none"/>
    </w:rPr>
  </w:style>
  <w:style w:type="paragraph" w:styleId="ListParagraph">
    <w:name w:val="List Paragraph"/>
    <w:aliases w:val="H&amp;P List Paragraph,2,Strip,Saraksta rindkopa1,Normal bullet 2,Bullet list,List Paragraph1"/>
    <w:basedOn w:val="Standard"/>
    <w:link w:val="ListParagraphChar"/>
    <w:uiPriority w:val="34"/>
    <w:qFormat/>
    <w:rsid w:val="00137F01"/>
    <w:pPr>
      <w:ind w:left="720"/>
    </w:pPr>
  </w:style>
  <w:style w:type="paragraph" w:styleId="Header">
    <w:name w:val="header"/>
    <w:basedOn w:val="Normal"/>
    <w:link w:val="HeaderChar"/>
    <w:uiPriority w:val="99"/>
    <w:unhideWhenUsed/>
    <w:rsid w:val="00137F01"/>
    <w:pPr>
      <w:tabs>
        <w:tab w:val="center" w:pos="4153"/>
        <w:tab w:val="right" w:pos="8306"/>
      </w:tabs>
    </w:pPr>
  </w:style>
  <w:style w:type="character" w:customStyle="1" w:styleId="HeaderChar">
    <w:name w:val="Header Char"/>
    <w:basedOn w:val="DefaultParagraphFont"/>
    <w:link w:val="Header"/>
    <w:uiPriority w:val="99"/>
    <w:rsid w:val="00137F01"/>
    <w:rPr>
      <w:rFonts w:eastAsia="SimSun" w:cs="F"/>
      <w:kern w:val="3"/>
      <w:szCs w:val="22"/>
      <w14:ligatures w14:val="none"/>
    </w:rPr>
  </w:style>
  <w:style w:type="paragraph" w:styleId="Footer">
    <w:name w:val="footer"/>
    <w:basedOn w:val="Normal"/>
    <w:link w:val="FooterChar"/>
    <w:uiPriority w:val="99"/>
    <w:unhideWhenUsed/>
    <w:rsid w:val="00137F01"/>
    <w:pPr>
      <w:tabs>
        <w:tab w:val="center" w:pos="4153"/>
        <w:tab w:val="right" w:pos="8306"/>
      </w:tabs>
    </w:pPr>
  </w:style>
  <w:style w:type="character" w:customStyle="1" w:styleId="FooterChar">
    <w:name w:val="Footer Char"/>
    <w:basedOn w:val="DefaultParagraphFont"/>
    <w:link w:val="Footer"/>
    <w:uiPriority w:val="99"/>
    <w:rsid w:val="00137F01"/>
    <w:rPr>
      <w:rFonts w:eastAsia="SimSun" w:cs="F"/>
      <w:kern w:val="3"/>
      <w:szCs w:val="22"/>
      <w14:ligatures w14:val="none"/>
    </w:rPr>
  </w:style>
  <w:style w:type="character" w:styleId="CommentReference">
    <w:name w:val="annotation reference"/>
    <w:basedOn w:val="DefaultParagraphFont"/>
    <w:uiPriority w:val="99"/>
    <w:semiHidden/>
    <w:unhideWhenUsed/>
    <w:rsid w:val="00137F01"/>
    <w:rPr>
      <w:sz w:val="16"/>
      <w:szCs w:val="16"/>
    </w:rPr>
  </w:style>
  <w:style w:type="paragraph" w:styleId="CommentText">
    <w:name w:val="annotation text"/>
    <w:basedOn w:val="Normal"/>
    <w:link w:val="CommentTextChar"/>
    <w:uiPriority w:val="99"/>
    <w:unhideWhenUsed/>
    <w:rsid w:val="00137F01"/>
    <w:rPr>
      <w:sz w:val="20"/>
      <w:szCs w:val="20"/>
    </w:rPr>
  </w:style>
  <w:style w:type="character" w:customStyle="1" w:styleId="CommentTextChar">
    <w:name w:val="Comment Text Char"/>
    <w:basedOn w:val="DefaultParagraphFont"/>
    <w:link w:val="CommentText"/>
    <w:uiPriority w:val="99"/>
    <w:rsid w:val="00137F01"/>
    <w:rPr>
      <w:rFonts w:eastAsia="SimSun" w:cs="F"/>
      <w:kern w:val="3"/>
      <w:sz w:val="20"/>
      <w:szCs w:val="20"/>
      <w14:ligatures w14:val="none"/>
    </w:rPr>
  </w:style>
  <w:style w:type="paragraph" w:styleId="CommentSubject">
    <w:name w:val="annotation subject"/>
    <w:basedOn w:val="CommentText"/>
    <w:next w:val="CommentText"/>
    <w:link w:val="CommentSubjectChar"/>
    <w:uiPriority w:val="99"/>
    <w:semiHidden/>
    <w:unhideWhenUsed/>
    <w:rsid w:val="00137F01"/>
    <w:rPr>
      <w:b/>
      <w:bCs/>
    </w:rPr>
  </w:style>
  <w:style w:type="character" w:customStyle="1" w:styleId="CommentSubjectChar">
    <w:name w:val="Comment Subject Char"/>
    <w:basedOn w:val="CommentTextChar"/>
    <w:link w:val="CommentSubject"/>
    <w:uiPriority w:val="99"/>
    <w:semiHidden/>
    <w:rsid w:val="00137F01"/>
    <w:rPr>
      <w:rFonts w:eastAsia="SimSun" w:cs="F"/>
      <w:b/>
      <w:bCs/>
      <w:kern w:val="3"/>
      <w:sz w:val="20"/>
      <w:szCs w:val="20"/>
      <w14:ligatures w14:val="none"/>
    </w:rPr>
  </w:style>
  <w:style w:type="paragraph" w:styleId="BalloonText">
    <w:name w:val="Balloon Text"/>
    <w:basedOn w:val="Normal"/>
    <w:link w:val="BalloonTextChar"/>
    <w:uiPriority w:val="99"/>
    <w:semiHidden/>
    <w:unhideWhenUsed/>
    <w:rsid w:val="00137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01"/>
    <w:rPr>
      <w:rFonts w:ascii="Segoe UI" w:eastAsia="SimSun" w:hAnsi="Segoe UI" w:cs="Segoe UI"/>
      <w:kern w:val="3"/>
      <w:sz w:val="18"/>
      <w:szCs w:val="18"/>
      <w14:ligatures w14:val="none"/>
    </w:rPr>
  </w:style>
  <w:style w:type="character" w:styleId="Hyperlink">
    <w:name w:val="Hyperlink"/>
    <w:basedOn w:val="DefaultParagraphFont"/>
    <w:uiPriority w:val="99"/>
    <w:unhideWhenUsed/>
    <w:rsid w:val="00137F01"/>
    <w:rPr>
      <w:color w:val="0563C1"/>
      <w:u w:val="single"/>
    </w:rPr>
  </w:style>
  <w:style w:type="character" w:customStyle="1" w:styleId="NoteikumutekstamRakstz">
    <w:name w:val="Noteikumu tekstam Rakstz."/>
    <w:basedOn w:val="DefaultParagraphFont"/>
    <w:link w:val="Noteikumutekstam"/>
    <w:locked/>
    <w:rsid w:val="00137F01"/>
  </w:style>
  <w:style w:type="paragraph" w:customStyle="1" w:styleId="Noteikumutekstam">
    <w:name w:val="Noteikumu tekstam"/>
    <w:basedOn w:val="Normal"/>
    <w:link w:val="NoteikumutekstamRakstz"/>
    <w:rsid w:val="00137F01"/>
    <w:pPr>
      <w:widowControl/>
      <w:suppressAutoHyphens w:val="0"/>
      <w:autoSpaceDN/>
      <w:spacing w:line="276" w:lineRule="auto"/>
      <w:ind w:left="41"/>
      <w:jc w:val="both"/>
      <w:textAlignment w:val="auto"/>
    </w:pPr>
    <w:rPr>
      <w:rFonts w:eastAsiaTheme="minorHAnsi" w:cs="Times New Roman"/>
      <w:kern w:val="2"/>
      <w:szCs w:val="24"/>
      <w14:ligatures w14:val="standardContextual"/>
    </w:rPr>
  </w:style>
  <w:style w:type="paragraph" w:styleId="NoSpacing">
    <w:name w:val="No Spacing"/>
    <w:basedOn w:val="Normal"/>
    <w:uiPriority w:val="1"/>
    <w:qFormat/>
    <w:rsid w:val="00137F01"/>
    <w:pPr>
      <w:widowControl/>
      <w:suppressAutoHyphens w:val="0"/>
      <w:autoSpaceDN/>
      <w:textAlignment w:val="auto"/>
    </w:pPr>
    <w:rPr>
      <w:rFonts w:ascii="Calibri" w:eastAsiaTheme="minorHAnsi" w:hAnsi="Calibri" w:cs="Calibri"/>
      <w:color w:val="000000"/>
      <w:kern w:val="0"/>
      <w:sz w:val="22"/>
    </w:rPr>
  </w:style>
  <w:style w:type="table" w:styleId="TableGrid">
    <w:name w:val="Table Grid"/>
    <w:basedOn w:val="TableNormal"/>
    <w:uiPriority w:val="39"/>
    <w:rsid w:val="00137F01"/>
    <w:pPr>
      <w:spacing w:after="0" w:line="240" w:lineRule="auto"/>
    </w:pPr>
    <w:rPr>
      <w:rFonts w:cstheme="minorBidi"/>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List Paragraph1 Char"/>
    <w:basedOn w:val="DefaultParagraphFont"/>
    <w:link w:val="ListParagraph"/>
    <w:uiPriority w:val="34"/>
    <w:locked/>
    <w:rsid w:val="00137F01"/>
    <w:rPr>
      <w:rFonts w:eastAsia="Calibri"/>
      <w:kern w:val="3"/>
      <w:szCs w:val="22"/>
      <w14:ligatures w14:val="none"/>
    </w:rPr>
  </w:style>
  <w:style w:type="paragraph" w:customStyle="1" w:styleId="Default">
    <w:name w:val="Default"/>
    <w:basedOn w:val="Normal"/>
    <w:rsid w:val="00137F01"/>
    <w:pPr>
      <w:widowControl/>
      <w:suppressAutoHyphens w:val="0"/>
      <w:autoSpaceDE w:val="0"/>
      <w:textAlignment w:val="auto"/>
    </w:pPr>
    <w:rPr>
      <w:rFonts w:eastAsiaTheme="minorHAnsi" w:cs="Times New Roman"/>
      <w:color w:val="000000"/>
      <w:kern w:val="0"/>
      <w:szCs w:val="24"/>
      <w:lang w:eastAsia="lv-LV"/>
    </w:rPr>
  </w:style>
  <w:style w:type="character" w:styleId="PlaceholderText">
    <w:name w:val="Placeholder Text"/>
    <w:basedOn w:val="DefaultParagraphFont"/>
    <w:uiPriority w:val="99"/>
    <w:semiHidden/>
    <w:rsid w:val="00137F01"/>
    <w:rPr>
      <w:color w:val="808080"/>
    </w:rPr>
  </w:style>
  <w:style w:type="character" w:styleId="UnresolvedMention">
    <w:name w:val="Unresolved Mention"/>
    <w:basedOn w:val="DefaultParagraphFont"/>
    <w:uiPriority w:val="99"/>
    <w:semiHidden/>
    <w:unhideWhenUsed/>
    <w:rsid w:val="00B5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4083">
      <w:bodyDiv w:val="1"/>
      <w:marLeft w:val="0"/>
      <w:marRight w:val="0"/>
      <w:marTop w:val="0"/>
      <w:marBottom w:val="0"/>
      <w:divBdr>
        <w:top w:val="none" w:sz="0" w:space="0" w:color="auto"/>
        <w:left w:val="none" w:sz="0" w:space="0" w:color="auto"/>
        <w:bottom w:val="none" w:sz="0" w:space="0" w:color="auto"/>
        <w:right w:val="none" w:sz="0" w:space="0" w:color="auto"/>
      </w:divBdr>
    </w:div>
    <w:div w:id="15333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8A7C24F7-D642-4892-A3BC-58B100C9FEA4}"/>
      </w:docPartPr>
      <w:docPartBody>
        <w:p w:rsidR="001375A0" w:rsidRDefault="00F14914">
          <w:r w:rsidRPr="00A028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14"/>
    <w:rsid w:val="001375A0"/>
    <w:rsid w:val="00392AC9"/>
    <w:rsid w:val="00817F1D"/>
    <w:rsid w:val="00994E0D"/>
    <w:rsid w:val="00F14914"/>
    <w:rsid w:val="00FC71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9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7</Pages>
  <Words>8725</Words>
  <Characters>4974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Sabina Kaļiņina</cp:lastModifiedBy>
  <cp:revision>10</cp:revision>
  <dcterms:created xsi:type="dcterms:W3CDTF">2023-10-16T12:58:00Z</dcterms:created>
  <dcterms:modified xsi:type="dcterms:W3CDTF">2023-10-19T08:45:00Z</dcterms:modified>
</cp:coreProperties>
</file>