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3E6C" w14:textId="6C8F5BCB" w:rsidR="0095483D" w:rsidRPr="00627F33" w:rsidRDefault="00BC4BCB" w:rsidP="00627F33">
      <w:pPr>
        <w:jc w:val="center"/>
        <w:rPr>
          <w:b/>
          <w:bCs/>
        </w:rPr>
      </w:pPr>
      <w:r w:rsidRPr="00627F33">
        <w:rPr>
          <w:b/>
          <w:bCs/>
        </w:rPr>
        <w:t>KOPSAVILKUMS</w:t>
      </w:r>
      <w:r w:rsidRPr="00627F33">
        <w:rPr>
          <w:rStyle w:val="FootnoteReference"/>
          <w:b/>
          <w:bCs/>
        </w:rPr>
        <w:footnoteReference w:id="1"/>
      </w:r>
    </w:p>
    <w:p w14:paraId="52C1763A" w14:textId="4320D788" w:rsidR="00627F33" w:rsidRPr="00627F33" w:rsidRDefault="00627F33" w:rsidP="00627F33">
      <w:pPr>
        <w:jc w:val="center"/>
        <w:rPr>
          <w:b/>
          <w:bCs/>
        </w:rPr>
      </w:pPr>
      <w:r>
        <w:rPr>
          <w:b/>
          <w:bCs/>
        </w:rPr>
        <w:t>p</w:t>
      </w:r>
      <w:r w:rsidRPr="00627F33">
        <w:rPr>
          <w:b/>
          <w:bCs/>
        </w:rPr>
        <w:t>ar projekt</w:t>
      </w:r>
      <w:r w:rsidR="00590983">
        <w:rPr>
          <w:b/>
          <w:bCs/>
        </w:rPr>
        <w:t>a</w:t>
      </w:r>
      <w:r w:rsidRPr="00627F33">
        <w:rPr>
          <w:b/>
          <w:bCs/>
        </w:rPr>
        <w:t xml:space="preserve"> iesnieguma vērtēšanas kritērij</w:t>
      </w:r>
      <w:r w:rsidR="00590983">
        <w:rPr>
          <w:b/>
          <w:bCs/>
        </w:rPr>
        <w:t>u komplektu</w:t>
      </w:r>
    </w:p>
    <w:p w14:paraId="56D6B11C" w14:textId="6116E6FD" w:rsidR="004C6DFD" w:rsidRPr="00836CE5" w:rsidRDefault="004C6DFD" w:rsidP="00BC4BCB">
      <w:pPr>
        <w:pStyle w:val="Default"/>
        <w:jc w:val="both"/>
        <w:rPr>
          <w:lang w:eastAsia="en-US"/>
        </w:rPr>
      </w:pPr>
    </w:p>
    <w:tbl>
      <w:tblPr>
        <w:tblStyle w:val="GridTable1Light-Accent1"/>
        <w:tblW w:w="8505" w:type="dxa"/>
        <w:tblLook w:val="04A0" w:firstRow="1" w:lastRow="0" w:firstColumn="1" w:lastColumn="0" w:noHBand="0" w:noVBand="1"/>
      </w:tblPr>
      <w:tblGrid>
        <w:gridCol w:w="4444"/>
        <w:gridCol w:w="4061"/>
      </w:tblGrid>
      <w:tr w:rsidR="004D681E" w:rsidRPr="00BC4BCB" w14:paraId="796FB8CB" w14:textId="77777777" w:rsidTr="004D6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2"/>
          </w:tcPr>
          <w:p w14:paraId="52E36A3E" w14:textId="2FB6E181" w:rsidR="004D681E" w:rsidRPr="00BC4BCB" w:rsidRDefault="004D681E" w:rsidP="004D681E">
            <w:pPr>
              <w:pStyle w:val="Default"/>
              <w:adjustRightInd/>
              <w:jc w:val="center"/>
            </w:pPr>
            <w:r>
              <w:t>Kopsavilkumā iekļaujamā informācija</w:t>
            </w:r>
          </w:p>
        </w:tc>
      </w:tr>
      <w:tr w:rsidR="00C1206C" w:rsidRPr="00BC4BCB" w14:paraId="7B0A2834" w14:textId="6F0FFAD8" w:rsidTr="004D6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6CEA7EAA" w14:textId="77777777" w:rsidR="00C1206C" w:rsidRPr="004D681E" w:rsidRDefault="00C1206C" w:rsidP="00C1206C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 xml:space="preserve">SAM numurs un nosaukums, tā </w:t>
            </w:r>
            <w:bookmarkStart w:id="0" w:name="_Hlk125399647"/>
            <w:r w:rsidRPr="004D681E">
              <w:rPr>
                <w:b w:val="0"/>
                <w:bCs w:val="0"/>
              </w:rPr>
              <w:t>pasākuma numurs un nosaukums (ja attiecināms) vai atlases kārtas numurs (ja attiecināms)</w:t>
            </w:r>
            <w:bookmarkEnd w:id="0"/>
            <w:r w:rsidRPr="004D681E">
              <w:rPr>
                <w:b w:val="0"/>
                <w:bCs w:val="0"/>
              </w:rPr>
              <w:t>;</w:t>
            </w:r>
          </w:p>
        </w:tc>
        <w:tc>
          <w:tcPr>
            <w:tcW w:w="4061" w:type="dxa"/>
          </w:tcPr>
          <w:p w14:paraId="53171579" w14:textId="0F246AB2" w:rsidR="00C1206C" w:rsidRPr="00BC4BCB" w:rsidRDefault="00C1206C" w:rsidP="00C1206C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2.1.3.3. </w:t>
            </w:r>
            <w:r w:rsidRPr="00214F58">
              <w:rPr>
                <w:color w:val="auto"/>
              </w:rPr>
              <w:t>Katastrofu risku mazināšanas pasākumi</w:t>
            </w:r>
            <w:r>
              <w:rPr>
                <w:color w:val="auto"/>
              </w:rPr>
              <w:t>, trešā</w:t>
            </w:r>
            <w:r w:rsidRPr="00F032CF">
              <w:rPr>
                <w:color w:val="auto"/>
              </w:rPr>
              <w:t xml:space="preserve"> projektu iesniegumu atlases kārta</w:t>
            </w:r>
          </w:p>
        </w:tc>
      </w:tr>
      <w:tr w:rsidR="000E499D" w:rsidRPr="00BC4BCB" w14:paraId="7B78037F" w14:textId="379F971A" w:rsidTr="004D66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4FB55B2F" w14:textId="77777777" w:rsidR="000E499D" w:rsidRPr="004D681E" w:rsidRDefault="000E499D" w:rsidP="000E499D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projektu atlases veids (ierobežota projektu iesniegumu atlase/ atklāta projektu iesniegumu atlase);</w:t>
            </w:r>
          </w:p>
        </w:tc>
        <w:tc>
          <w:tcPr>
            <w:tcW w:w="4061" w:type="dxa"/>
            <w:vAlign w:val="center"/>
          </w:tcPr>
          <w:p w14:paraId="0074999D" w14:textId="54EAA37A" w:rsidR="000E499D" w:rsidRPr="00BC4BCB" w:rsidRDefault="000E499D" w:rsidP="000E499D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Ierobežota </w:t>
            </w:r>
            <w:r w:rsidRPr="00F307CB">
              <w:rPr>
                <w:color w:val="auto"/>
              </w:rPr>
              <w:t>projektu iesniegumu atlase</w:t>
            </w:r>
          </w:p>
        </w:tc>
      </w:tr>
      <w:tr w:rsidR="000E499D" w:rsidRPr="00BC4BCB" w14:paraId="7CE2DB01" w14:textId="1435D55C" w:rsidTr="004D6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462B0EC8" w14:textId="77777777" w:rsidR="000E499D" w:rsidRPr="004D681E" w:rsidRDefault="000E499D" w:rsidP="000E499D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 xml:space="preserve">plānotais finansējuma saņēmējs/i (ierobežotas projektu iesniegumu atlases ietvaros), plānotais finansējuma saņēmēju loks (atklātas projektu iesniegumu atlases ietvaros), kā arī plānotie finansējuma gala saņēmēji, sadarbības partneri (ja attiecināms),  </w:t>
            </w:r>
          </w:p>
        </w:tc>
        <w:tc>
          <w:tcPr>
            <w:tcW w:w="4061" w:type="dxa"/>
          </w:tcPr>
          <w:p w14:paraId="2686C8F7" w14:textId="31EB3803" w:rsidR="007D5985" w:rsidRDefault="00A71F8E" w:rsidP="00A71F8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“Ugunsdrošības un civilās aizsardzības koledžas profesionālās izglītības iestādes kompleksa būvniecības 1.kārta” un “Ugunsdzēsības, loģistikas un remonta bāzes kompleksa būvniecība” </w:t>
            </w:r>
            <w:r w:rsidR="007D5985" w:rsidRPr="007D5985">
              <w:t>finansējuma saņēmējs</w:t>
            </w:r>
            <w:r w:rsidR="007D5985">
              <w:t xml:space="preserve"> </w:t>
            </w:r>
            <w:r>
              <w:t>ir Nodrošinājuma valsts aģentūra</w:t>
            </w:r>
            <w:r w:rsidR="007D5985">
              <w:t xml:space="preserve"> un kā sadarbības partneri iesaista V</w:t>
            </w:r>
            <w:r w:rsidR="007D5985" w:rsidRPr="007D5985">
              <w:t>alsts ugunsdzēsības un glābšanas dienest</w:t>
            </w:r>
            <w:r w:rsidR="007D5985">
              <w:t>u</w:t>
            </w:r>
            <w:r w:rsidR="007D5985" w:rsidRPr="007D5985">
              <w:t>.</w:t>
            </w:r>
          </w:p>
          <w:p w14:paraId="54CB9F70" w14:textId="77777777" w:rsidR="007D5985" w:rsidRDefault="007D5985" w:rsidP="00A71F8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C378ED" w14:textId="45A5C324" w:rsidR="00A71F8E" w:rsidRDefault="00A71F8E" w:rsidP="00A71F8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“Drošības klašu izveide” </w:t>
            </w:r>
            <w:r w:rsidR="007D5985">
              <w:t xml:space="preserve">finansējuma saņēmējs ir </w:t>
            </w:r>
            <w:r>
              <w:t>Valsts ugunsdzēsības un glābšanas dienests</w:t>
            </w:r>
            <w:r w:rsidR="007D5985">
              <w:t xml:space="preserve"> un kā sadarbības partneri iesaista Nodrošinājuma valsts aģentūru.</w:t>
            </w:r>
          </w:p>
          <w:p w14:paraId="7046DC2C" w14:textId="64729C36" w:rsidR="000E499D" w:rsidRPr="00BC4BCB" w:rsidRDefault="000E499D" w:rsidP="00A71F8E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99D" w:rsidRPr="00BC4BCB" w14:paraId="51E1676B" w14:textId="697980B3" w:rsidTr="004D6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25F8B917" w14:textId="77777777" w:rsidR="000E499D" w:rsidRPr="004D681E" w:rsidRDefault="000E499D" w:rsidP="000E499D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daudzpakāpju projektu gadījumā, informācija par tālākajiem plānotajiem konkursiem/ atlasēm atbalsta saņēmējiem;</w:t>
            </w:r>
          </w:p>
        </w:tc>
        <w:tc>
          <w:tcPr>
            <w:tcW w:w="4061" w:type="dxa"/>
          </w:tcPr>
          <w:p w14:paraId="754B4D3C" w14:textId="06190C59" w:rsidR="000E499D" w:rsidRPr="00BC4BCB" w:rsidRDefault="00390175" w:rsidP="000E499D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0E499D" w:rsidRPr="00BC4BCB" w14:paraId="4BF49CBE" w14:textId="64DEDA73" w:rsidTr="004D6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4F495953" w14:textId="77777777" w:rsidR="000E499D" w:rsidRPr="004D681E" w:rsidRDefault="000E499D" w:rsidP="000E499D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atlasei pieejamais finansējums, t.sk. ES fondu finansējums un nacionālais līdzfinansējums;</w:t>
            </w:r>
          </w:p>
        </w:tc>
        <w:tc>
          <w:tcPr>
            <w:tcW w:w="4061" w:type="dxa"/>
          </w:tcPr>
          <w:p w14:paraId="546F5E18" w14:textId="059D7D65" w:rsidR="000E499D" w:rsidRPr="00BC4BCB" w:rsidRDefault="000E499D" w:rsidP="000E499D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Pasākuma trešās kārtas projektu plānotais un pieejamais kopējais finansējums ir 51 258 054 euro, tai skaitā Eiropas Reģionālās attīstības fonda finansējums 43 569 346 euro un valsts budžeta līdzfinansējums 7 688 708 euro.</w:t>
            </w:r>
          </w:p>
        </w:tc>
      </w:tr>
      <w:tr w:rsidR="000E499D" w:rsidRPr="00BC4BCB" w14:paraId="3B887F96" w14:textId="4F79A346" w:rsidTr="004D6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022E0BD4" w14:textId="77777777" w:rsidR="000E499D" w:rsidRPr="004D681E" w:rsidRDefault="000E499D" w:rsidP="000E499D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komercdarbības atbalsta esamība SAM, tā pasākumā, atlasē un plānotais komercdarbības atbalsta regulējums (ja attiecināms);</w:t>
            </w:r>
          </w:p>
        </w:tc>
        <w:tc>
          <w:tcPr>
            <w:tcW w:w="4061" w:type="dxa"/>
          </w:tcPr>
          <w:p w14:paraId="08798522" w14:textId="32654B89" w:rsidR="000E499D" w:rsidRPr="00BC4BCB" w:rsidRDefault="00390175" w:rsidP="000E499D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0E499D" w:rsidRPr="00BC4BCB" w14:paraId="76E927FF" w14:textId="38F50E84" w:rsidTr="004D6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7E93607A" w14:textId="77777777" w:rsidR="000E499D" w:rsidRPr="004D681E" w:rsidRDefault="000E499D" w:rsidP="000E499D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 xml:space="preserve">būtiskākās plānotās aktivitātes/ atbalstāmās darbības atlases kārtas ietvaros un indikatīvais finansējuma sadalījums starp tām (var tikt izmantots </w:t>
            </w:r>
            <w:r w:rsidRPr="004D681E">
              <w:rPr>
                <w:b w:val="0"/>
                <w:bCs w:val="0"/>
              </w:rPr>
              <w:lastRenderedPageBreak/>
              <w:t>Programmā un Programmas papildinājumā noteiktais sadalījums pa intervences laukuma jomām);</w:t>
            </w:r>
          </w:p>
        </w:tc>
        <w:tc>
          <w:tcPr>
            <w:tcW w:w="4061" w:type="dxa"/>
          </w:tcPr>
          <w:p w14:paraId="1C18FD33" w14:textId="279C4B95" w:rsidR="000E499D" w:rsidRDefault="000E499D" w:rsidP="000E499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lang w:eastAsia="en-US"/>
              </w:rPr>
            </w:pPr>
            <w:r w:rsidRPr="000E499D">
              <w:lastRenderedPageBreak/>
              <w:t>1.</w:t>
            </w:r>
            <w:r w:rsidRPr="000E499D">
              <w:rPr>
                <w:rFonts w:eastAsiaTheme="minorHAnsi"/>
                <w:color w:val="auto"/>
                <w:lang w:eastAsia="en-US"/>
              </w:rPr>
              <w:t>“Ugunsdrošības un civilās aizsardzības koledžas profesionālās izglītības iestādes kompleksa būvniecības 1.kārta”</w:t>
            </w:r>
            <w:r>
              <w:rPr>
                <w:rFonts w:eastAsiaTheme="minorHAnsi"/>
                <w:color w:val="auto"/>
                <w:lang w:eastAsia="en-US"/>
              </w:rPr>
              <w:t xml:space="preserve"> (</w:t>
            </w:r>
            <w:r w:rsidRPr="000E499D">
              <w:rPr>
                <w:rFonts w:eastAsiaTheme="minorHAnsi"/>
                <w:color w:val="auto"/>
                <w:lang w:eastAsia="en-US"/>
              </w:rPr>
              <w:t xml:space="preserve">valsts budžets - 2 </w:t>
            </w:r>
            <w:r w:rsidRPr="000E499D">
              <w:rPr>
                <w:rFonts w:eastAsiaTheme="minorHAnsi"/>
                <w:color w:val="auto"/>
                <w:lang w:eastAsia="en-US"/>
              </w:rPr>
              <w:lastRenderedPageBreak/>
              <w:t>357 438 EUR</w:t>
            </w:r>
            <w:r>
              <w:rPr>
                <w:rFonts w:eastAsiaTheme="minorHAnsi"/>
                <w:color w:val="auto"/>
                <w:lang w:eastAsia="en-US"/>
              </w:rPr>
              <w:t xml:space="preserve">; </w:t>
            </w:r>
            <w:r w:rsidRPr="000E499D">
              <w:rPr>
                <w:rFonts w:eastAsiaTheme="minorHAnsi"/>
                <w:color w:val="auto"/>
                <w:lang w:eastAsia="en-US"/>
              </w:rPr>
              <w:t>Eiropas Reģionālās attīstības fonds - 13 358 816 EUR</w:t>
            </w:r>
            <w:r>
              <w:rPr>
                <w:rFonts w:eastAsiaTheme="minorHAnsi"/>
                <w:color w:val="auto"/>
                <w:lang w:eastAsia="en-US"/>
              </w:rPr>
              <w:t xml:space="preserve">; </w:t>
            </w:r>
            <w:r w:rsidRPr="000E499D">
              <w:rPr>
                <w:rFonts w:eastAsiaTheme="minorHAnsi"/>
                <w:color w:val="auto"/>
                <w:lang w:eastAsia="en-US"/>
              </w:rPr>
              <w:t>Kopā  – 15 716 254 EUR</w:t>
            </w:r>
            <w:r>
              <w:rPr>
                <w:rFonts w:eastAsiaTheme="minorHAnsi"/>
                <w:color w:val="auto"/>
                <w:lang w:eastAsia="en-US"/>
              </w:rPr>
              <w:t>);</w:t>
            </w:r>
          </w:p>
          <w:p w14:paraId="3E8C16A5" w14:textId="1FD76DA0" w:rsidR="000E499D" w:rsidRDefault="000E499D" w:rsidP="000E499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lang w:eastAsia="en-US"/>
              </w:rPr>
            </w:pPr>
            <w:r w:rsidRPr="000E499D">
              <w:rPr>
                <w:rFonts w:eastAsiaTheme="minorHAnsi"/>
                <w:color w:val="auto"/>
                <w:lang w:eastAsia="en-US"/>
              </w:rPr>
              <w:t>2.“Ugunsdzēsības loģistikas un remonta bāzes kompleksa būvniecība”</w:t>
            </w:r>
            <w:r>
              <w:rPr>
                <w:rFonts w:eastAsiaTheme="minorHAnsi"/>
                <w:color w:val="auto"/>
                <w:lang w:eastAsia="en-US"/>
              </w:rPr>
              <w:t xml:space="preserve"> (</w:t>
            </w:r>
            <w:r w:rsidRPr="000E499D">
              <w:rPr>
                <w:rFonts w:eastAsiaTheme="minorHAnsi"/>
                <w:color w:val="auto"/>
                <w:lang w:eastAsia="en-US"/>
              </w:rPr>
              <w:t>valsts budžets - 3 834 929 EUR</w:t>
            </w:r>
            <w:r>
              <w:rPr>
                <w:rFonts w:eastAsiaTheme="minorHAnsi"/>
                <w:color w:val="auto"/>
                <w:lang w:eastAsia="en-US"/>
              </w:rPr>
              <w:t xml:space="preserve">; </w:t>
            </w:r>
            <w:r w:rsidRPr="000E499D">
              <w:rPr>
                <w:rFonts w:eastAsiaTheme="minorHAnsi"/>
                <w:color w:val="auto"/>
                <w:lang w:eastAsia="en-US"/>
              </w:rPr>
              <w:t>Eiropas Reģionālās attīstības fonds - 21 731 263 EUR</w:t>
            </w:r>
            <w:r>
              <w:rPr>
                <w:rFonts w:eastAsiaTheme="minorHAnsi"/>
                <w:color w:val="auto"/>
                <w:lang w:eastAsia="en-US"/>
              </w:rPr>
              <w:t xml:space="preserve">; </w:t>
            </w:r>
            <w:r w:rsidRPr="000E499D">
              <w:rPr>
                <w:rFonts w:eastAsiaTheme="minorHAnsi"/>
                <w:color w:val="auto"/>
                <w:lang w:eastAsia="en-US"/>
              </w:rPr>
              <w:t>Kopā projektam – 25 566 192 EUR</w:t>
            </w:r>
            <w:r>
              <w:rPr>
                <w:rFonts w:eastAsiaTheme="minorHAnsi"/>
                <w:color w:val="auto"/>
                <w:lang w:eastAsia="en-US"/>
              </w:rPr>
              <w:t>);</w:t>
            </w:r>
          </w:p>
          <w:p w14:paraId="2C3ABB64" w14:textId="75DC2E41" w:rsidR="000E499D" w:rsidRPr="00BC4BCB" w:rsidRDefault="000E499D" w:rsidP="000E499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  <w:color w:val="auto"/>
                <w:lang w:eastAsia="en-US"/>
              </w:rPr>
              <w:t>3.</w:t>
            </w:r>
            <w:r w:rsidRPr="000E499D">
              <w:rPr>
                <w:rFonts w:eastAsiaTheme="minorHAnsi"/>
                <w:color w:val="auto"/>
                <w:lang w:eastAsia="en-US"/>
              </w:rPr>
              <w:t xml:space="preserve"> “Drošības klašu izveide”</w:t>
            </w:r>
            <w:r>
              <w:rPr>
                <w:rFonts w:eastAsiaTheme="minorHAnsi"/>
                <w:color w:val="auto"/>
                <w:lang w:eastAsia="en-US"/>
              </w:rPr>
              <w:t xml:space="preserve"> (</w:t>
            </w:r>
            <w:r w:rsidRPr="000E499D">
              <w:rPr>
                <w:rFonts w:eastAsiaTheme="minorHAnsi"/>
                <w:color w:val="auto"/>
                <w:lang w:eastAsia="en-US"/>
              </w:rPr>
              <w:t>valsts budžets - 1 496 341 EUR</w:t>
            </w:r>
            <w:r>
              <w:rPr>
                <w:rFonts w:eastAsiaTheme="minorHAnsi"/>
                <w:color w:val="auto"/>
                <w:lang w:eastAsia="en-US"/>
              </w:rPr>
              <w:t xml:space="preserve">; </w:t>
            </w:r>
            <w:r w:rsidRPr="000E499D">
              <w:rPr>
                <w:rFonts w:eastAsiaTheme="minorHAnsi"/>
                <w:color w:val="auto"/>
                <w:lang w:eastAsia="en-US"/>
              </w:rPr>
              <w:t>Eiropas Reģionālās attīstības fonds - 8 479 267 EUR</w:t>
            </w:r>
            <w:r>
              <w:rPr>
                <w:rFonts w:eastAsiaTheme="minorHAnsi"/>
                <w:color w:val="auto"/>
                <w:lang w:eastAsia="en-US"/>
              </w:rPr>
              <w:t xml:space="preserve">; </w:t>
            </w:r>
            <w:r w:rsidRPr="000E499D">
              <w:rPr>
                <w:rFonts w:eastAsiaTheme="minorHAnsi"/>
                <w:color w:val="auto"/>
                <w:lang w:eastAsia="en-US"/>
              </w:rPr>
              <w:t>Kopā projektam – 9 975 608 EUR</w:t>
            </w:r>
            <w:r>
              <w:rPr>
                <w:rFonts w:eastAsiaTheme="minorHAnsi"/>
                <w:color w:val="auto"/>
                <w:lang w:eastAsia="en-US"/>
              </w:rPr>
              <w:t>).</w:t>
            </w:r>
          </w:p>
        </w:tc>
      </w:tr>
      <w:tr w:rsidR="000E499D" w:rsidRPr="00BC4BCB" w14:paraId="2BDD66ED" w14:textId="6433B235" w:rsidTr="004D6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69B04F41" w14:textId="77777777" w:rsidR="000E499D" w:rsidRPr="004D681E" w:rsidRDefault="000E499D" w:rsidP="000E499D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lastRenderedPageBreak/>
              <w:t>atlases ietvaros sasniedzamais mērķis/i;</w:t>
            </w:r>
          </w:p>
        </w:tc>
        <w:tc>
          <w:tcPr>
            <w:tcW w:w="4061" w:type="dxa"/>
          </w:tcPr>
          <w:p w14:paraId="76D27EF8" w14:textId="77777777" w:rsidR="000E499D" w:rsidRDefault="000E499D" w:rsidP="000E499D">
            <w:pPr>
              <w:spacing w:before="2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Pasākuma trešās kārtas mērķis ir uzbūvēt Ugunsdrošības un civilās aizsardzības koledžas profesionālās izglītības iestādes kompleksa 1.kārtu un Ugunsdzēsības loģistikas un remonta bāzes kompleksu, kā arī izveidot Drošības klases katastrofu pārvaldības </w:t>
            </w:r>
            <w:proofErr w:type="spellStart"/>
            <w:r>
              <w:t>prevencijas</w:t>
            </w:r>
            <w:proofErr w:type="spellEnd"/>
            <w:r>
              <w:t> pasākumu īstenošanai un sabiedrības izglītošanai.</w:t>
            </w:r>
          </w:p>
          <w:p w14:paraId="2E489504" w14:textId="77777777" w:rsidR="000E499D" w:rsidRPr="00BC4BCB" w:rsidRDefault="000E499D" w:rsidP="000E499D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99D" w:rsidRPr="00BC4BCB" w14:paraId="279CD468" w14:textId="3189744D" w:rsidTr="004D6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67C264AB" w14:textId="77777777" w:rsidR="000E499D" w:rsidRPr="004D681E" w:rsidRDefault="000E499D" w:rsidP="000E499D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atlases ietvaros sasniedzamie rādītāji;</w:t>
            </w:r>
          </w:p>
        </w:tc>
        <w:tc>
          <w:tcPr>
            <w:tcW w:w="4061" w:type="dxa"/>
          </w:tcPr>
          <w:p w14:paraId="2FE805F9" w14:textId="77777777" w:rsidR="000E499D" w:rsidRDefault="000E499D" w:rsidP="000E499D">
            <w:pPr>
              <w:spacing w:before="2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Pasākuma trešo kārtu īsteno līdz 2029. gada 31. decembrim, sasniedzot šādus rādītājus: </w:t>
            </w:r>
          </w:p>
          <w:p w14:paraId="7339F41A" w14:textId="2F8FCBE3" w:rsidR="000E499D" w:rsidRDefault="000E499D" w:rsidP="000E499D">
            <w:pPr>
              <w:pStyle w:val="ListParagraph"/>
              <w:numPr>
                <w:ilvl w:val="1"/>
                <w:numId w:val="2"/>
              </w:numPr>
              <w:ind w:left="261" w:hanging="2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iznākuma rādītājs – investīcijas jaunās vai jauninātās katastrofu monitoringa, gatavības, brīdinājuma un reaģēšanas sistēmās attiecībā uz dabas katastrofām sasniedz 51 258 054 euro, iznākuma rādītāja starpposma vērtība 2024. gada 31.decembrī sasniedz 6 763 658 euro.</w:t>
            </w:r>
          </w:p>
          <w:p w14:paraId="115670B3" w14:textId="71111FEB" w:rsidR="000E499D" w:rsidRDefault="000E499D" w:rsidP="000E499D">
            <w:pPr>
              <w:numPr>
                <w:ilvl w:val="1"/>
                <w:numId w:val="2"/>
              </w:numPr>
              <w:ind w:left="2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nacionālais rezultāta rādītājs – ieviestas drošības klases piecos reģionos un divu ēku nodošana ekspluatācijā.</w:t>
            </w:r>
          </w:p>
          <w:p w14:paraId="013F6A25" w14:textId="77777777" w:rsidR="000E499D" w:rsidRPr="00BC4BCB" w:rsidRDefault="000E499D" w:rsidP="000E499D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99D" w:rsidRPr="00BC4BCB" w14:paraId="3832739F" w14:textId="78D7BB72" w:rsidTr="004D6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14:paraId="468D5CEB" w14:textId="77777777" w:rsidR="000E499D" w:rsidRPr="004D681E" w:rsidRDefault="000E499D" w:rsidP="000E499D">
            <w:pPr>
              <w:pStyle w:val="Default"/>
              <w:numPr>
                <w:ilvl w:val="0"/>
                <w:numId w:val="2"/>
              </w:numPr>
              <w:adjustRightInd/>
              <w:ind w:left="453" w:hanging="425"/>
              <w:jc w:val="both"/>
              <w:rPr>
                <w:b w:val="0"/>
                <w:bCs w:val="0"/>
              </w:rPr>
            </w:pPr>
            <w:r w:rsidRPr="004D681E">
              <w:rPr>
                <w:b w:val="0"/>
                <w:bCs w:val="0"/>
              </w:rPr>
              <w:t>atbalsta mērķa grupa/s (ja attiecināms).</w:t>
            </w:r>
          </w:p>
        </w:tc>
        <w:tc>
          <w:tcPr>
            <w:tcW w:w="4061" w:type="dxa"/>
          </w:tcPr>
          <w:p w14:paraId="073EF27D" w14:textId="2317A283" w:rsidR="000E499D" w:rsidRPr="00BC4BCB" w:rsidRDefault="000E499D" w:rsidP="000E499D">
            <w:pPr>
              <w:pStyle w:val="Default"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Pasākuma trešās kārtas mērķa grupa ir Latvijas pašvaldības, iedzīvotāji, Iekšlietu ministrija, Valsts ugunsdzēsības un glābšanas dienests, Nodrošinājuma valsts aģentūra.</w:t>
            </w:r>
          </w:p>
        </w:tc>
      </w:tr>
    </w:tbl>
    <w:p w14:paraId="47288BE1" w14:textId="77777777" w:rsidR="00BC4BCB" w:rsidRDefault="00BC4BCB" w:rsidP="004C6DFD">
      <w:pPr>
        <w:pStyle w:val="Default"/>
        <w:ind w:left="426"/>
        <w:jc w:val="both"/>
      </w:pPr>
    </w:p>
    <w:p w14:paraId="5F40DFCD" w14:textId="12686185" w:rsidR="004C6DFD" w:rsidRPr="007D5985" w:rsidRDefault="004C6DFD" w:rsidP="007D5985">
      <w:pPr>
        <w:pStyle w:val="Default"/>
        <w:tabs>
          <w:tab w:val="left" w:pos="0"/>
        </w:tabs>
        <w:jc w:val="both"/>
        <w:rPr>
          <w:i/>
          <w:iCs/>
        </w:rPr>
      </w:pPr>
      <w:bookmarkStart w:id="1" w:name="_GoBack"/>
      <w:bookmarkEnd w:id="1"/>
    </w:p>
    <w:sectPr w:rsidR="004C6DFD" w:rsidRPr="007D5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FEF0" w14:textId="77777777" w:rsidR="00E13317" w:rsidRDefault="00E13317" w:rsidP="00BC4BCB">
      <w:pPr>
        <w:spacing w:after="0" w:line="240" w:lineRule="auto"/>
      </w:pPr>
      <w:r>
        <w:separator/>
      </w:r>
    </w:p>
  </w:endnote>
  <w:endnote w:type="continuationSeparator" w:id="0">
    <w:p w14:paraId="28BBD4D2" w14:textId="77777777" w:rsidR="00E13317" w:rsidRDefault="00E13317" w:rsidP="00BC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8F3B" w14:textId="77777777" w:rsidR="00E13317" w:rsidRDefault="00E13317" w:rsidP="00BC4BCB">
      <w:pPr>
        <w:spacing w:after="0" w:line="240" w:lineRule="auto"/>
      </w:pPr>
      <w:r>
        <w:separator/>
      </w:r>
    </w:p>
  </w:footnote>
  <w:footnote w:type="continuationSeparator" w:id="0">
    <w:p w14:paraId="45ED2465" w14:textId="77777777" w:rsidR="00E13317" w:rsidRDefault="00E13317" w:rsidP="00BC4BCB">
      <w:pPr>
        <w:spacing w:after="0" w:line="240" w:lineRule="auto"/>
      </w:pPr>
      <w:r>
        <w:continuationSeparator/>
      </w:r>
    </w:p>
  </w:footnote>
  <w:footnote w:id="1">
    <w:p w14:paraId="6B0E039E" w14:textId="5FFC2F81" w:rsidR="00BC4BCB" w:rsidRDefault="00BC4BCB" w:rsidP="00D61C1A">
      <w:pPr>
        <w:pStyle w:val="FootnoteText"/>
      </w:pPr>
      <w:r>
        <w:rPr>
          <w:rStyle w:val="FootnoteReference"/>
        </w:rPr>
        <w:footnoteRef/>
      </w:r>
      <w:r>
        <w:t xml:space="preserve"> Saskaņā ar </w:t>
      </w:r>
      <w:r w:rsidR="00D61C1A">
        <w:t xml:space="preserve">Eiropas Reģionālās attīstības fonda, Eiropas Sociālā fonda plus, </w:t>
      </w:r>
      <w:r w:rsidR="00D61C1A" w:rsidRPr="00D61C1A">
        <w:t xml:space="preserve">Kohēzijas fonda un Taisnīgas pārkārtošanās fonda projektu iesniegumu atlases metodikas 2021.–2027.gadam </w:t>
      </w:r>
      <w:r w:rsidRPr="00D61C1A">
        <w:t>18.punktu.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4DA"/>
    <w:multiLevelType w:val="hybridMultilevel"/>
    <w:tmpl w:val="751AC7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4C467E3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474"/>
    <w:multiLevelType w:val="hybridMultilevel"/>
    <w:tmpl w:val="A72E3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B87AD5DE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3CF048A0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B5450CA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D45FB"/>
    <w:multiLevelType w:val="hybridMultilevel"/>
    <w:tmpl w:val="E6226994"/>
    <w:lvl w:ilvl="0" w:tplc="CC52E604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CCEC0EE2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7026C46C">
      <w:numFmt w:val="decimal"/>
      <w:lvlText w:val=""/>
      <w:lvlJc w:val="left"/>
    </w:lvl>
    <w:lvl w:ilvl="3" w:tplc="04C41A8E">
      <w:numFmt w:val="decimal"/>
      <w:lvlText w:val=""/>
      <w:lvlJc w:val="left"/>
    </w:lvl>
    <w:lvl w:ilvl="4" w:tplc="114E2EFA">
      <w:numFmt w:val="decimal"/>
      <w:lvlText w:val=""/>
      <w:lvlJc w:val="left"/>
    </w:lvl>
    <w:lvl w:ilvl="5" w:tplc="76200AEA">
      <w:numFmt w:val="decimal"/>
      <w:lvlText w:val=""/>
      <w:lvlJc w:val="left"/>
    </w:lvl>
    <w:lvl w:ilvl="6" w:tplc="2092F582">
      <w:numFmt w:val="decimal"/>
      <w:lvlText w:val=""/>
      <w:lvlJc w:val="left"/>
    </w:lvl>
    <w:lvl w:ilvl="7" w:tplc="38207EBC">
      <w:numFmt w:val="decimal"/>
      <w:lvlText w:val=""/>
      <w:lvlJc w:val="left"/>
    </w:lvl>
    <w:lvl w:ilvl="8" w:tplc="4F887FA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D"/>
    <w:rsid w:val="000E499D"/>
    <w:rsid w:val="001456F1"/>
    <w:rsid w:val="00390175"/>
    <w:rsid w:val="004C6DFD"/>
    <w:rsid w:val="004D681E"/>
    <w:rsid w:val="00590983"/>
    <w:rsid w:val="00627F33"/>
    <w:rsid w:val="00664876"/>
    <w:rsid w:val="00763F62"/>
    <w:rsid w:val="007D5985"/>
    <w:rsid w:val="0095483D"/>
    <w:rsid w:val="00A71F8E"/>
    <w:rsid w:val="00BC4BCB"/>
    <w:rsid w:val="00C1206C"/>
    <w:rsid w:val="00D61C1A"/>
    <w:rsid w:val="00E11C1E"/>
    <w:rsid w:val="00E1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1E18"/>
  <w15:chartTrackingRefBased/>
  <w15:docId w15:val="{A01CE503-2922-4FF9-A668-FEE7D2BB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DF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lv-LV"/>
    </w:rPr>
  </w:style>
  <w:style w:type="table" w:styleId="TableGrid">
    <w:name w:val="Table Grid"/>
    <w:basedOn w:val="TableNormal"/>
    <w:uiPriority w:val="39"/>
    <w:rsid w:val="00BC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4B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BCB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4D6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77D0-2A55-462F-A784-4A42FBF7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Dzelzkalēja</dc:creator>
  <cp:keywords/>
  <dc:description/>
  <cp:lastModifiedBy>Vanesa Silvestrova</cp:lastModifiedBy>
  <cp:revision>3</cp:revision>
  <dcterms:created xsi:type="dcterms:W3CDTF">2023-09-22T11:17:00Z</dcterms:created>
  <dcterms:modified xsi:type="dcterms:W3CDTF">2023-09-22T11:19:00Z</dcterms:modified>
</cp:coreProperties>
</file>