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D61D3" w14:textId="3982C375" w:rsidR="00105C0F" w:rsidRPr="00935C0E" w:rsidRDefault="0086347E" w:rsidP="00CF4E3D">
      <w:pPr>
        <w:jc w:val="center"/>
        <w:rPr>
          <w:rFonts w:ascii="Times New Roman" w:hAnsi="Times New Roman" w:cs="Times New Roman"/>
          <w:b/>
          <w:sz w:val="24"/>
          <w:szCs w:val="24"/>
        </w:rPr>
      </w:pPr>
      <w:r w:rsidRPr="00935C0E">
        <w:rPr>
          <w:rFonts w:ascii="Times New Roman" w:hAnsi="Times New Roman" w:cs="Times New Roman"/>
          <w:b/>
          <w:sz w:val="24"/>
          <w:szCs w:val="24"/>
        </w:rPr>
        <w:t xml:space="preserve">Finanšu ministrijas kā Eiropas savienības struktūrfondu un Kohēzijas fonda </w:t>
      </w:r>
      <w:r w:rsidR="00E31FE9">
        <w:rPr>
          <w:rFonts w:ascii="Times New Roman" w:hAnsi="Times New Roman" w:cs="Times New Roman"/>
          <w:b/>
          <w:sz w:val="24"/>
          <w:szCs w:val="24"/>
        </w:rPr>
        <w:br/>
      </w:r>
      <w:r w:rsidRPr="00935C0E">
        <w:rPr>
          <w:rFonts w:ascii="Times New Roman" w:hAnsi="Times New Roman" w:cs="Times New Roman"/>
          <w:b/>
          <w:sz w:val="24"/>
          <w:szCs w:val="24"/>
        </w:rPr>
        <w:t>(turpmāk – ES fondi) vadošās iestādes skaidrojums par snieguma rezerves piemērošanu ES fondu 2014.–2020.gada plānošanas periodā</w:t>
      </w:r>
    </w:p>
    <w:p w14:paraId="0B4ECE85" w14:textId="77777777" w:rsidR="00F96D4B" w:rsidRPr="00935C0E" w:rsidRDefault="00F96D4B" w:rsidP="00CF4E3D">
      <w:pPr>
        <w:jc w:val="center"/>
        <w:rPr>
          <w:rFonts w:ascii="Times New Roman" w:hAnsi="Times New Roman" w:cs="Times New Roman"/>
          <w:b/>
          <w:sz w:val="24"/>
          <w:szCs w:val="24"/>
        </w:rPr>
      </w:pPr>
    </w:p>
    <w:p w14:paraId="69558953" w14:textId="77777777" w:rsidR="003046AF" w:rsidRPr="00935C0E" w:rsidRDefault="00194B8F" w:rsidP="00CF4E3D">
      <w:pPr>
        <w:jc w:val="center"/>
        <w:rPr>
          <w:rFonts w:ascii="Times New Roman" w:hAnsi="Times New Roman" w:cs="Times New Roman"/>
          <w:b/>
          <w:sz w:val="24"/>
          <w:szCs w:val="24"/>
        </w:rPr>
      </w:pPr>
      <w:r w:rsidRPr="00935C0E">
        <w:rPr>
          <w:rFonts w:ascii="Times New Roman" w:hAnsi="Times New Roman" w:cs="Times New Roman"/>
          <w:b/>
          <w:sz w:val="24"/>
          <w:szCs w:val="24"/>
        </w:rPr>
        <w:t>I Snieguma ietvara mehānisms un snieguma rezerves būtība</w:t>
      </w:r>
    </w:p>
    <w:p w14:paraId="322CCE99" w14:textId="77777777" w:rsidR="00C669F6" w:rsidRPr="00276F82" w:rsidRDefault="003046AF" w:rsidP="0082112C">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sz w:val="24"/>
          <w:szCs w:val="24"/>
        </w:rPr>
        <w:t>Saskaņā ar Regulu Nr.1303/2013</w:t>
      </w:r>
      <w:r w:rsidRPr="00935C0E">
        <w:rPr>
          <w:rStyle w:val="FootnoteReference"/>
          <w:rFonts w:ascii="Times New Roman" w:hAnsi="Times New Roman" w:cs="Times New Roman"/>
          <w:sz w:val="24"/>
          <w:szCs w:val="24"/>
        </w:rPr>
        <w:footnoteReference w:id="1"/>
      </w:r>
      <w:r w:rsidR="00403B3F">
        <w:rPr>
          <w:rFonts w:ascii="Times New Roman" w:hAnsi="Times New Roman" w:cs="Times New Roman"/>
          <w:sz w:val="24"/>
          <w:szCs w:val="24"/>
        </w:rPr>
        <w:t>,</w:t>
      </w:r>
      <w:r w:rsidRPr="00935C0E">
        <w:rPr>
          <w:rFonts w:ascii="Times New Roman" w:hAnsi="Times New Roman" w:cs="Times New Roman"/>
          <w:sz w:val="24"/>
          <w:szCs w:val="24"/>
        </w:rPr>
        <w:t xml:space="preserve"> </w:t>
      </w:r>
      <w:r w:rsidRPr="00276F82">
        <w:rPr>
          <w:rFonts w:ascii="Times New Roman" w:hAnsi="Times New Roman" w:cs="Times New Roman"/>
          <w:sz w:val="24"/>
          <w:szCs w:val="24"/>
        </w:rPr>
        <w:t>katram prioritārajam virzienam ir nepieciešams veidot snieguma ietvaru, kurā iekļaujami iznākuma un finanšu rādītāji.</w:t>
      </w:r>
      <w:r w:rsidR="005B7B45" w:rsidRPr="00276F82">
        <w:rPr>
          <w:rFonts w:ascii="Times New Roman" w:hAnsi="Times New Roman" w:cs="Times New Roman"/>
          <w:sz w:val="24"/>
          <w:szCs w:val="24"/>
        </w:rPr>
        <w:t xml:space="preserve"> </w:t>
      </w:r>
    </w:p>
    <w:p w14:paraId="6FCAC259" w14:textId="2A678E76" w:rsidR="00C669F6" w:rsidRPr="00C669F6" w:rsidRDefault="00C669F6" w:rsidP="00C669F6">
      <w:pPr>
        <w:pStyle w:val="ListParagraph"/>
        <w:numPr>
          <w:ilvl w:val="0"/>
          <w:numId w:val="5"/>
        </w:numPr>
        <w:ind w:left="567" w:hanging="567"/>
        <w:jc w:val="both"/>
        <w:rPr>
          <w:rFonts w:ascii="Times New Roman" w:hAnsi="Times New Roman" w:cs="Times New Roman"/>
          <w:sz w:val="24"/>
          <w:szCs w:val="24"/>
        </w:rPr>
      </w:pPr>
      <w:r w:rsidRPr="00276F82">
        <w:rPr>
          <w:rFonts w:ascii="Times New Roman" w:hAnsi="Times New Roman" w:cs="Times New Roman"/>
          <w:sz w:val="24"/>
          <w:szCs w:val="24"/>
        </w:rPr>
        <w:t>Snieguma ietvars ir noteikts rādītāju kopums</w:t>
      </w:r>
      <w:r w:rsidR="00C1323E" w:rsidRPr="00276F82">
        <w:rPr>
          <w:rFonts w:ascii="Times New Roman" w:hAnsi="Times New Roman" w:cs="Times New Roman"/>
          <w:sz w:val="24"/>
          <w:szCs w:val="24"/>
        </w:rPr>
        <w:t xml:space="preserve"> katram prioritārajam virzienam, kas sastāv no finanšu rādītāja</w:t>
      </w:r>
      <w:r w:rsidRPr="00276F82">
        <w:rPr>
          <w:rFonts w:ascii="Times New Roman" w:hAnsi="Times New Roman" w:cs="Times New Roman"/>
          <w:sz w:val="24"/>
          <w:szCs w:val="24"/>
        </w:rPr>
        <w:t xml:space="preserve"> uz 2018.gada 31.decembri</w:t>
      </w:r>
      <w:r w:rsidR="00C1323E" w:rsidRPr="00276F82">
        <w:rPr>
          <w:rFonts w:ascii="Times New Roman" w:hAnsi="Times New Roman" w:cs="Times New Roman"/>
          <w:sz w:val="24"/>
          <w:szCs w:val="24"/>
        </w:rPr>
        <w:t xml:space="preserve">, t.i. </w:t>
      </w:r>
      <w:r w:rsidRPr="00276F82">
        <w:rPr>
          <w:rFonts w:ascii="Times New Roman" w:hAnsi="Times New Roman" w:cs="Times New Roman"/>
          <w:sz w:val="24"/>
          <w:szCs w:val="24"/>
        </w:rPr>
        <w:t>sertificēti izdevumi (ES fondu finansējums kopā ar nacionālo finansējumu)</w:t>
      </w:r>
      <w:r w:rsidR="00C1323E" w:rsidRPr="00276F82">
        <w:rPr>
          <w:rFonts w:ascii="Times New Roman" w:hAnsi="Times New Roman" w:cs="Times New Roman"/>
          <w:sz w:val="24"/>
          <w:szCs w:val="24"/>
        </w:rPr>
        <w:t>,</w:t>
      </w:r>
      <w:r w:rsidRPr="00276F82">
        <w:rPr>
          <w:rFonts w:ascii="Times New Roman" w:hAnsi="Times New Roman" w:cs="Times New Roman"/>
          <w:sz w:val="24"/>
          <w:szCs w:val="24"/>
        </w:rPr>
        <w:t xml:space="preserve"> un atsevišķu specifisko atbalsta mērķu (turpmāk – SAM) iznākumu rādītāju starpposmu vērtībām uz 2018.gada 31.decembri</w:t>
      </w:r>
      <w:r>
        <w:rPr>
          <w:rFonts w:ascii="Times New Roman" w:hAnsi="Times New Roman" w:cs="Times New Roman"/>
          <w:sz w:val="24"/>
          <w:szCs w:val="24"/>
        </w:rPr>
        <w:t xml:space="preserve"> (vai arī atsevišķos gadījumos tikusi noteikta iznākuma rādītāja īstenošanas posma vērtība</w:t>
      </w:r>
      <w:r w:rsidR="00C1323E">
        <w:rPr>
          <w:rFonts w:ascii="Times New Roman" w:hAnsi="Times New Roman" w:cs="Times New Roman"/>
          <w:sz w:val="24"/>
          <w:szCs w:val="24"/>
        </w:rPr>
        <w:t>). Prioritāro virzienu snieguma ietvari</w:t>
      </w:r>
      <w:r>
        <w:rPr>
          <w:rFonts w:ascii="Times New Roman" w:hAnsi="Times New Roman" w:cs="Times New Roman"/>
          <w:sz w:val="24"/>
          <w:szCs w:val="24"/>
        </w:rPr>
        <w:t xml:space="preserve"> ir iekļ</w:t>
      </w:r>
      <w:r w:rsidR="00C1323E">
        <w:rPr>
          <w:rFonts w:ascii="Times New Roman" w:hAnsi="Times New Roman" w:cs="Times New Roman"/>
          <w:sz w:val="24"/>
          <w:szCs w:val="24"/>
        </w:rPr>
        <w:t>auti</w:t>
      </w:r>
      <w:r w:rsidRPr="00C669F6">
        <w:rPr>
          <w:rFonts w:ascii="Times New Roman" w:hAnsi="Times New Roman" w:cs="Times New Roman"/>
          <w:sz w:val="24"/>
          <w:szCs w:val="24"/>
        </w:rPr>
        <w:t xml:space="preserve"> darbības programmā “</w:t>
      </w:r>
      <w:r>
        <w:rPr>
          <w:rFonts w:ascii="Times New Roman" w:hAnsi="Times New Roman" w:cs="Times New Roman"/>
          <w:sz w:val="24"/>
          <w:szCs w:val="24"/>
        </w:rPr>
        <w:t>I</w:t>
      </w:r>
      <w:r w:rsidRPr="00C669F6">
        <w:rPr>
          <w:rFonts w:ascii="Times New Roman" w:hAnsi="Times New Roman" w:cs="Times New Roman"/>
          <w:sz w:val="24"/>
          <w:szCs w:val="24"/>
        </w:rPr>
        <w:t xml:space="preserve">zaugsme un nodarbinātība”, </w:t>
      </w:r>
      <w:r w:rsidR="00DB5C30" w:rsidRPr="00C669F6">
        <w:rPr>
          <w:rFonts w:ascii="Times New Roman" w:hAnsi="Times New Roman" w:cs="Times New Roman"/>
          <w:sz w:val="24"/>
          <w:szCs w:val="24"/>
        </w:rPr>
        <w:t>aiz katra prioritārā mērķa apraksta</w:t>
      </w:r>
      <w:r w:rsidR="00DB5C30">
        <w:rPr>
          <w:rFonts w:ascii="Times New Roman" w:hAnsi="Times New Roman" w:cs="Times New Roman"/>
          <w:sz w:val="24"/>
          <w:szCs w:val="24"/>
        </w:rPr>
        <w:t xml:space="preserve"> </w:t>
      </w:r>
      <w:r w:rsidR="00C1323E" w:rsidRPr="00C669F6">
        <w:rPr>
          <w:rFonts w:ascii="Times New Roman" w:hAnsi="Times New Roman" w:cs="Times New Roman"/>
          <w:sz w:val="24"/>
          <w:szCs w:val="24"/>
        </w:rPr>
        <w:t>tabulā</w:t>
      </w:r>
      <w:r w:rsidR="00C1323E">
        <w:rPr>
          <w:rFonts w:ascii="Times New Roman" w:hAnsi="Times New Roman" w:cs="Times New Roman"/>
          <w:sz w:val="24"/>
          <w:szCs w:val="24"/>
        </w:rPr>
        <w:t xml:space="preserve">s ar </w:t>
      </w:r>
      <w:r>
        <w:rPr>
          <w:rFonts w:ascii="Times New Roman" w:hAnsi="Times New Roman" w:cs="Times New Roman"/>
          <w:sz w:val="24"/>
          <w:szCs w:val="24"/>
        </w:rPr>
        <w:t>identifikācijas numuru (6)</w:t>
      </w:r>
      <w:r w:rsidRPr="00C669F6">
        <w:rPr>
          <w:rFonts w:ascii="Times New Roman" w:hAnsi="Times New Roman" w:cs="Times New Roman"/>
          <w:sz w:val="24"/>
          <w:szCs w:val="24"/>
        </w:rPr>
        <w:t>.</w:t>
      </w:r>
    </w:p>
    <w:p w14:paraId="473244AD" w14:textId="67707782" w:rsidR="003046AF" w:rsidRPr="00E95544" w:rsidRDefault="005B7B45" w:rsidP="00C669F6">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sz w:val="24"/>
          <w:szCs w:val="24"/>
        </w:rPr>
        <w:t xml:space="preserve">Vienlaikus </w:t>
      </w:r>
      <w:r w:rsidR="003046AF" w:rsidRPr="00935C0E">
        <w:rPr>
          <w:rFonts w:ascii="Times New Roman" w:hAnsi="Times New Roman" w:cs="Times New Roman"/>
          <w:sz w:val="24"/>
          <w:szCs w:val="24"/>
        </w:rPr>
        <w:t>Regula Nr.1303/2013 nosaka snieguma rezervi</w:t>
      </w:r>
      <w:r w:rsidR="00403B3F">
        <w:rPr>
          <w:rFonts w:ascii="Times New Roman" w:hAnsi="Times New Roman" w:cs="Times New Roman"/>
          <w:sz w:val="24"/>
          <w:szCs w:val="24"/>
        </w:rPr>
        <w:t xml:space="preserve"> finansējumam</w:t>
      </w:r>
      <w:r w:rsidR="003046AF" w:rsidRPr="00935C0E">
        <w:rPr>
          <w:rFonts w:ascii="Times New Roman" w:hAnsi="Times New Roman" w:cs="Times New Roman"/>
          <w:sz w:val="24"/>
          <w:szCs w:val="24"/>
        </w:rPr>
        <w:t xml:space="preserve"> 6% apjomā snieguma ietvarā noteikto nosacījumu izpildei.</w:t>
      </w:r>
      <w:r w:rsidR="00C669F6">
        <w:rPr>
          <w:rFonts w:ascii="Times New Roman" w:hAnsi="Times New Roman" w:cs="Times New Roman"/>
          <w:sz w:val="24"/>
          <w:szCs w:val="24"/>
        </w:rPr>
        <w:t xml:space="preserve"> </w:t>
      </w:r>
      <w:r w:rsidR="00C669F6" w:rsidRPr="00FB308F">
        <w:rPr>
          <w:rFonts w:ascii="Times New Roman" w:hAnsi="Times New Roman" w:cs="Times New Roman"/>
          <w:sz w:val="24"/>
          <w:szCs w:val="24"/>
        </w:rPr>
        <w:t xml:space="preserve">Saskaņā ar darbības programmas “Izaugsme un nodarbinātība” saskaņošanas procesā panāktajām vienošanām un Eiropas Komisijas vadlīnijām, snieguma rezerve veidojas no visa pieejamā </w:t>
      </w:r>
      <w:r w:rsidR="00A125CA">
        <w:rPr>
          <w:rFonts w:ascii="Times New Roman" w:hAnsi="Times New Roman" w:cs="Times New Roman"/>
          <w:sz w:val="24"/>
          <w:szCs w:val="24"/>
        </w:rPr>
        <w:t xml:space="preserve">ES fondu </w:t>
      </w:r>
      <w:r w:rsidR="00C669F6" w:rsidRPr="00FB308F">
        <w:rPr>
          <w:rFonts w:ascii="Times New Roman" w:hAnsi="Times New Roman" w:cs="Times New Roman"/>
          <w:sz w:val="24"/>
          <w:szCs w:val="24"/>
        </w:rPr>
        <w:t>finansējuma un rezervi nepiemēro tehniskajai palīdzībai.</w:t>
      </w:r>
    </w:p>
    <w:p w14:paraId="6E817A03" w14:textId="03541DF3" w:rsidR="003046AF" w:rsidRPr="00935C0E" w:rsidRDefault="003046AF" w:rsidP="00B84E2D">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sz w:val="24"/>
          <w:szCs w:val="24"/>
        </w:rPr>
        <w:t>Snieguma rezervi nosaka atsevišķi katram prioritārajam virzienam un katram fondam prioritārā virziena ietvaros. Rezerves apjoms</w:t>
      </w:r>
      <w:r w:rsidR="00054E45">
        <w:rPr>
          <w:rStyle w:val="FootnoteReference"/>
          <w:rFonts w:ascii="Times New Roman" w:hAnsi="Times New Roman" w:cs="Times New Roman"/>
          <w:sz w:val="24"/>
          <w:szCs w:val="24"/>
        </w:rPr>
        <w:footnoteReference w:id="2"/>
      </w:r>
      <w:r w:rsidRPr="00935C0E">
        <w:rPr>
          <w:rFonts w:ascii="Times New Roman" w:hAnsi="Times New Roman" w:cs="Times New Roman"/>
          <w:sz w:val="24"/>
          <w:szCs w:val="24"/>
        </w:rPr>
        <w:t xml:space="preserve"> ir:</w:t>
      </w:r>
    </w:p>
    <w:p w14:paraId="7832A4C5" w14:textId="77777777" w:rsidR="00B84E2D" w:rsidRPr="00935C0E" w:rsidRDefault="00B84E2D" w:rsidP="00FF6909">
      <w:pPr>
        <w:pStyle w:val="ListParagraph"/>
        <w:numPr>
          <w:ilvl w:val="0"/>
          <w:numId w:val="13"/>
        </w:numPr>
        <w:ind w:left="993"/>
        <w:jc w:val="both"/>
        <w:rPr>
          <w:rFonts w:ascii="Times New Roman" w:hAnsi="Times New Roman" w:cs="Times New Roman"/>
          <w:sz w:val="24"/>
          <w:szCs w:val="24"/>
        </w:rPr>
      </w:pPr>
      <w:r w:rsidRPr="00935C0E">
        <w:rPr>
          <w:rFonts w:ascii="Times New Roman" w:hAnsi="Times New Roman" w:cs="Times New Roman"/>
          <w:sz w:val="24"/>
          <w:szCs w:val="24"/>
        </w:rPr>
        <w:t>6,1% ERAF</w:t>
      </w:r>
    </w:p>
    <w:p w14:paraId="49E8181F" w14:textId="77777777" w:rsidR="00B84E2D" w:rsidRPr="00935C0E" w:rsidRDefault="00B84E2D" w:rsidP="00FF6909">
      <w:pPr>
        <w:pStyle w:val="ListParagraph"/>
        <w:numPr>
          <w:ilvl w:val="0"/>
          <w:numId w:val="13"/>
        </w:numPr>
        <w:ind w:left="993"/>
        <w:jc w:val="both"/>
        <w:rPr>
          <w:rFonts w:ascii="Times New Roman" w:hAnsi="Times New Roman" w:cs="Times New Roman"/>
          <w:sz w:val="24"/>
          <w:szCs w:val="24"/>
        </w:rPr>
      </w:pPr>
      <w:r w:rsidRPr="00935C0E">
        <w:rPr>
          <w:rFonts w:ascii="Times New Roman" w:hAnsi="Times New Roman" w:cs="Times New Roman"/>
          <w:sz w:val="24"/>
          <w:szCs w:val="24"/>
        </w:rPr>
        <w:t>6,22% ESF</w:t>
      </w:r>
    </w:p>
    <w:p w14:paraId="67F22F28" w14:textId="77777777" w:rsidR="00B84E2D" w:rsidRPr="00B84E2D" w:rsidRDefault="00B84E2D" w:rsidP="00FF6909">
      <w:pPr>
        <w:pStyle w:val="ListParagraph"/>
        <w:numPr>
          <w:ilvl w:val="0"/>
          <w:numId w:val="13"/>
        </w:numPr>
        <w:ind w:left="993"/>
        <w:jc w:val="both"/>
        <w:rPr>
          <w:rFonts w:ascii="Times New Roman" w:hAnsi="Times New Roman" w:cs="Times New Roman"/>
          <w:sz w:val="24"/>
          <w:szCs w:val="24"/>
        </w:rPr>
      </w:pPr>
      <w:r w:rsidRPr="00935C0E">
        <w:rPr>
          <w:rFonts w:ascii="Times New Roman" w:hAnsi="Times New Roman" w:cs="Times New Roman"/>
          <w:sz w:val="24"/>
          <w:szCs w:val="24"/>
        </w:rPr>
        <w:t>6,19% KF</w:t>
      </w:r>
    </w:p>
    <w:p w14:paraId="5107FFD3" w14:textId="5DEBC488" w:rsidR="003046AF" w:rsidRPr="00935C0E" w:rsidRDefault="003046AF" w:rsidP="00B84E2D">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sz w:val="24"/>
          <w:szCs w:val="24"/>
        </w:rPr>
        <w:t xml:space="preserve">Pamatojoties uz </w:t>
      </w:r>
      <w:r w:rsidR="00EF556D">
        <w:rPr>
          <w:rFonts w:ascii="Times New Roman" w:hAnsi="Times New Roman" w:cs="Times New Roman"/>
          <w:sz w:val="24"/>
          <w:szCs w:val="24"/>
        </w:rPr>
        <w:t>snieguma ietvarā noteikto rādītāju izpildi</w:t>
      </w:r>
      <w:r w:rsidRPr="00935C0E">
        <w:rPr>
          <w:rFonts w:ascii="Times New Roman" w:hAnsi="Times New Roman" w:cs="Times New Roman"/>
          <w:sz w:val="24"/>
          <w:szCs w:val="24"/>
        </w:rPr>
        <w:t xml:space="preserve">, </w:t>
      </w:r>
      <w:r w:rsidR="00EF556D">
        <w:rPr>
          <w:rFonts w:ascii="Times New Roman" w:hAnsi="Times New Roman" w:cs="Times New Roman"/>
          <w:sz w:val="24"/>
          <w:szCs w:val="24"/>
        </w:rPr>
        <w:t>tai skaitā</w:t>
      </w:r>
      <w:r w:rsidR="00C669F6" w:rsidRPr="00935C0E">
        <w:rPr>
          <w:rFonts w:ascii="Times New Roman" w:hAnsi="Times New Roman" w:cs="Times New Roman"/>
          <w:sz w:val="24"/>
          <w:szCs w:val="24"/>
        </w:rPr>
        <w:t xml:space="preserve"> </w:t>
      </w:r>
      <w:r w:rsidR="00C669F6">
        <w:rPr>
          <w:rFonts w:ascii="Times New Roman" w:hAnsi="Times New Roman" w:cs="Times New Roman"/>
          <w:sz w:val="24"/>
          <w:szCs w:val="24"/>
        </w:rPr>
        <w:t xml:space="preserve">darbības programmas “Izaugsme un nodarbinātība” </w:t>
      </w:r>
      <w:r w:rsidRPr="00935C0E">
        <w:rPr>
          <w:rFonts w:ascii="Times New Roman" w:hAnsi="Times New Roman" w:cs="Times New Roman"/>
          <w:sz w:val="24"/>
          <w:szCs w:val="24"/>
        </w:rPr>
        <w:t>ikgadējo</w:t>
      </w:r>
      <w:r w:rsidR="00EF556D">
        <w:rPr>
          <w:rFonts w:ascii="Times New Roman" w:hAnsi="Times New Roman" w:cs="Times New Roman"/>
          <w:sz w:val="24"/>
          <w:szCs w:val="24"/>
        </w:rPr>
        <w:t xml:space="preserve"> īstenošanas ziņojumu un</w:t>
      </w:r>
      <w:r w:rsidRPr="00935C0E">
        <w:rPr>
          <w:rFonts w:ascii="Times New Roman" w:hAnsi="Times New Roman" w:cs="Times New Roman"/>
          <w:sz w:val="24"/>
          <w:szCs w:val="24"/>
        </w:rPr>
        <w:t xml:space="preserve"> stratēģisko</w:t>
      </w:r>
      <w:r w:rsidR="00EF556D">
        <w:rPr>
          <w:rFonts w:ascii="Times New Roman" w:hAnsi="Times New Roman" w:cs="Times New Roman"/>
          <w:sz w:val="24"/>
          <w:szCs w:val="24"/>
        </w:rPr>
        <w:t xml:space="preserve"> progresa</w:t>
      </w:r>
      <w:r w:rsidRPr="00935C0E">
        <w:rPr>
          <w:rFonts w:ascii="Times New Roman" w:hAnsi="Times New Roman" w:cs="Times New Roman"/>
          <w:sz w:val="24"/>
          <w:szCs w:val="24"/>
        </w:rPr>
        <w:t xml:space="preserve"> ziņojumu</w:t>
      </w:r>
      <w:r w:rsidR="00EF556D">
        <w:rPr>
          <w:rFonts w:ascii="Times New Roman" w:hAnsi="Times New Roman" w:cs="Times New Roman"/>
          <w:sz w:val="24"/>
          <w:szCs w:val="24"/>
        </w:rPr>
        <w:t xml:space="preserve"> uz 2018.gada 31.decembri, ko </w:t>
      </w:r>
      <w:r w:rsidR="00C669F6">
        <w:rPr>
          <w:rFonts w:ascii="Times New Roman" w:hAnsi="Times New Roman" w:cs="Times New Roman"/>
          <w:sz w:val="24"/>
          <w:szCs w:val="24"/>
        </w:rPr>
        <w:t xml:space="preserve">Eiropas Komisijai </w:t>
      </w:r>
      <w:r w:rsidR="00EF556D">
        <w:rPr>
          <w:rFonts w:ascii="Times New Roman" w:hAnsi="Times New Roman" w:cs="Times New Roman"/>
          <w:sz w:val="24"/>
          <w:szCs w:val="24"/>
        </w:rPr>
        <w:t>iesniedz līdz 2019.gada 31.augustam</w:t>
      </w:r>
      <w:r w:rsidRPr="00935C0E">
        <w:rPr>
          <w:rFonts w:ascii="Times New Roman" w:hAnsi="Times New Roman" w:cs="Times New Roman"/>
          <w:sz w:val="24"/>
          <w:szCs w:val="24"/>
        </w:rPr>
        <w:t xml:space="preserve">, </w:t>
      </w:r>
      <w:r w:rsidR="00DB5C30">
        <w:rPr>
          <w:rFonts w:ascii="Times New Roman" w:hAnsi="Times New Roman" w:cs="Times New Roman"/>
          <w:sz w:val="24"/>
          <w:szCs w:val="24"/>
        </w:rPr>
        <w:t xml:space="preserve">kā arī </w:t>
      </w:r>
      <w:r w:rsidR="00DB5C30" w:rsidRPr="00935C0E">
        <w:rPr>
          <w:rFonts w:ascii="Times New Roman" w:hAnsi="Times New Roman" w:cs="Times New Roman"/>
          <w:sz w:val="24"/>
          <w:szCs w:val="24"/>
        </w:rPr>
        <w:t xml:space="preserve">ņemot vērā </w:t>
      </w:r>
      <w:r w:rsidR="00DB5C30">
        <w:rPr>
          <w:rFonts w:ascii="Times New Roman" w:hAnsi="Times New Roman" w:cs="Times New Roman"/>
          <w:sz w:val="24"/>
          <w:szCs w:val="24"/>
        </w:rPr>
        <w:t xml:space="preserve">Eiropas Komisijas ikgadējo </w:t>
      </w:r>
      <w:r w:rsidR="00DB5C30" w:rsidRPr="00B84E2D">
        <w:rPr>
          <w:rFonts w:ascii="Times New Roman" w:hAnsi="Times New Roman" w:cs="Times New Roman"/>
          <w:sz w:val="24"/>
          <w:szCs w:val="24"/>
        </w:rPr>
        <w:t>stratēģisko ziņojumu un no tā izrietošās valstu specifiskās rekomendācijas</w:t>
      </w:r>
      <w:r w:rsidR="00DB5C30">
        <w:rPr>
          <w:rFonts w:ascii="Times New Roman" w:hAnsi="Times New Roman" w:cs="Times New Roman"/>
          <w:sz w:val="24"/>
          <w:szCs w:val="24"/>
        </w:rPr>
        <w:t>,</w:t>
      </w:r>
      <w:r w:rsidR="00DB5C30" w:rsidRPr="00935C0E">
        <w:rPr>
          <w:rFonts w:ascii="Times New Roman" w:hAnsi="Times New Roman" w:cs="Times New Roman"/>
          <w:sz w:val="24"/>
          <w:szCs w:val="24"/>
        </w:rPr>
        <w:t xml:space="preserve"> </w:t>
      </w:r>
      <w:r w:rsidRPr="00935C0E">
        <w:rPr>
          <w:rFonts w:ascii="Times New Roman" w:hAnsi="Times New Roman" w:cs="Times New Roman"/>
          <w:sz w:val="24"/>
          <w:szCs w:val="24"/>
        </w:rPr>
        <w:t xml:space="preserve">Eiropas Komisija 2019.gadā pieņem lēmumu par to, vai ir piešķirama snieguma rezerve. </w:t>
      </w:r>
      <w:r w:rsidR="00A01CEE">
        <w:rPr>
          <w:rFonts w:ascii="Times New Roman" w:hAnsi="Times New Roman" w:cs="Times New Roman"/>
          <w:sz w:val="24"/>
          <w:szCs w:val="24"/>
        </w:rPr>
        <w:t xml:space="preserve">Jāņem vērā, ka turpmāka rīcība attiecībā uz snieguma </w:t>
      </w:r>
      <w:r w:rsidR="00AA5825">
        <w:rPr>
          <w:rFonts w:ascii="Times New Roman" w:hAnsi="Times New Roman" w:cs="Times New Roman"/>
          <w:sz w:val="24"/>
          <w:szCs w:val="24"/>
        </w:rPr>
        <w:t>rezervi</w:t>
      </w:r>
      <w:r w:rsidR="00A01CEE">
        <w:rPr>
          <w:rFonts w:ascii="Times New Roman" w:hAnsi="Times New Roman" w:cs="Times New Roman"/>
          <w:sz w:val="24"/>
          <w:szCs w:val="24"/>
        </w:rPr>
        <w:t xml:space="preserve"> iespējama tikai pēc </w:t>
      </w:r>
      <w:r w:rsidR="00AA5825">
        <w:rPr>
          <w:rFonts w:ascii="Times New Roman" w:hAnsi="Times New Roman" w:cs="Times New Roman"/>
          <w:sz w:val="24"/>
          <w:szCs w:val="24"/>
        </w:rPr>
        <w:t>Eiropas Komisijas lēmuma</w:t>
      </w:r>
      <w:r w:rsidR="00A01CEE">
        <w:rPr>
          <w:rFonts w:ascii="Times New Roman" w:hAnsi="Times New Roman" w:cs="Times New Roman"/>
          <w:sz w:val="24"/>
          <w:szCs w:val="24"/>
        </w:rPr>
        <w:t>, kas indikatīvi gaidāms 2019.gada beigās</w:t>
      </w:r>
    </w:p>
    <w:p w14:paraId="12E593D0" w14:textId="484D5122" w:rsidR="00B84E2D" w:rsidRPr="00E31FE9" w:rsidRDefault="003046AF" w:rsidP="00E31FE9">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sz w:val="24"/>
          <w:szCs w:val="24"/>
        </w:rPr>
        <w:t>Ja snieguma ietvars nav izpildīts, rezerve tiek noņemta un to var</w:t>
      </w:r>
      <w:r w:rsidR="00AA5825">
        <w:rPr>
          <w:rFonts w:ascii="Times New Roman" w:hAnsi="Times New Roman" w:cs="Times New Roman"/>
          <w:sz w:val="24"/>
          <w:szCs w:val="24"/>
        </w:rPr>
        <w:t xml:space="preserve"> </w:t>
      </w:r>
      <w:r w:rsidR="00B84E2D" w:rsidRPr="00E31FE9">
        <w:rPr>
          <w:rFonts w:ascii="Times New Roman" w:hAnsi="Times New Roman" w:cs="Times New Roman"/>
          <w:sz w:val="24"/>
          <w:szCs w:val="24"/>
        </w:rPr>
        <w:t>pārdalīt cit</w:t>
      </w:r>
      <w:r w:rsidR="000042EA" w:rsidRPr="00E31FE9">
        <w:rPr>
          <w:rFonts w:ascii="Times New Roman" w:hAnsi="Times New Roman" w:cs="Times New Roman"/>
          <w:sz w:val="24"/>
          <w:szCs w:val="24"/>
        </w:rPr>
        <w:t>am</w:t>
      </w:r>
      <w:r w:rsidR="00B84E2D" w:rsidRPr="00E31FE9">
        <w:rPr>
          <w:rFonts w:ascii="Times New Roman" w:hAnsi="Times New Roman" w:cs="Times New Roman"/>
          <w:sz w:val="24"/>
          <w:szCs w:val="24"/>
        </w:rPr>
        <w:t xml:space="preserve"> </w:t>
      </w:r>
      <w:r w:rsidR="000042EA" w:rsidRPr="00E31FE9">
        <w:rPr>
          <w:rFonts w:ascii="Times New Roman" w:hAnsi="Times New Roman" w:cs="Times New Roman"/>
          <w:sz w:val="24"/>
          <w:szCs w:val="24"/>
        </w:rPr>
        <w:t>prioritārajam virzienam (tā paša fonda ietvaros)</w:t>
      </w:r>
      <w:r w:rsidR="00B84E2D" w:rsidRPr="00E31FE9">
        <w:rPr>
          <w:rFonts w:ascii="Times New Roman" w:hAnsi="Times New Roman" w:cs="Times New Roman"/>
          <w:sz w:val="24"/>
          <w:szCs w:val="24"/>
        </w:rPr>
        <w:t>, ievērojot tematisko koncentrāciju</w:t>
      </w:r>
      <w:r w:rsidR="00AA5825">
        <w:rPr>
          <w:rFonts w:ascii="Times New Roman" w:hAnsi="Times New Roman" w:cs="Times New Roman"/>
          <w:sz w:val="24"/>
          <w:szCs w:val="24"/>
        </w:rPr>
        <w:t xml:space="preserve">. Jāņem vērā, ka </w:t>
      </w:r>
      <w:r w:rsidR="00B84E2D" w:rsidRPr="00E31FE9">
        <w:rPr>
          <w:rFonts w:ascii="Times New Roman" w:hAnsi="Times New Roman" w:cs="Times New Roman"/>
          <w:sz w:val="24"/>
          <w:szCs w:val="24"/>
        </w:rPr>
        <w:t>Eiropas Komisija var ierosināt rezervi pārdalīt</w:t>
      </w:r>
      <w:r w:rsidR="00AA5825">
        <w:rPr>
          <w:rFonts w:ascii="Times New Roman" w:hAnsi="Times New Roman" w:cs="Times New Roman"/>
          <w:sz w:val="24"/>
          <w:szCs w:val="24"/>
        </w:rPr>
        <w:t xml:space="preserve"> konkrētiem mērķiem</w:t>
      </w:r>
      <w:r w:rsidR="00B84E2D" w:rsidRPr="00E31FE9">
        <w:rPr>
          <w:rFonts w:ascii="Times New Roman" w:hAnsi="Times New Roman" w:cs="Times New Roman"/>
          <w:sz w:val="24"/>
          <w:szCs w:val="24"/>
        </w:rPr>
        <w:t>, t</w:t>
      </w:r>
      <w:r w:rsidR="00AA5825">
        <w:rPr>
          <w:rFonts w:ascii="Times New Roman" w:hAnsi="Times New Roman" w:cs="Times New Roman"/>
          <w:sz w:val="24"/>
          <w:szCs w:val="24"/>
        </w:rPr>
        <w:t>ai skaitā</w:t>
      </w:r>
      <w:r w:rsidR="00B84E2D" w:rsidRPr="00E31FE9">
        <w:rPr>
          <w:rFonts w:ascii="Times New Roman" w:hAnsi="Times New Roman" w:cs="Times New Roman"/>
          <w:sz w:val="24"/>
          <w:szCs w:val="24"/>
        </w:rPr>
        <w:t>, ņemot vērā</w:t>
      </w:r>
      <w:r w:rsidR="00C1323E" w:rsidRPr="00E31FE9">
        <w:rPr>
          <w:rFonts w:ascii="Times New Roman" w:hAnsi="Times New Roman" w:cs="Times New Roman"/>
          <w:sz w:val="24"/>
          <w:szCs w:val="24"/>
        </w:rPr>
        <w:t xml:space="preserve"> stratēģiskas izmaiņas, piemēram, nepieciešamību ieviest jaunas rekomendācijas.</w:t>
      </w:r>
      <w:r w:rsidR="00B84E2D" w:rsidRPr="00E31FE9">
        <w:rPr>
          <w:rFonts w:ascii="Times New Roman" w:hAnsi="Times New Roman" w:cs="Times New Roman"/>
          <w:sz w:val="24"/>
          <w:szCs w:val="24"/>
        </w:rPr>
        <w:t>.</w:t>
      </w:r>
    </w:p>
    <w:p w14:paraId="0C645BFF" w14:textId="368B7240" w:rsidR="00403B3F" w:rsidRPr="00403B3F" w:rsidRDefault="00403B3F" w:rsidP="00B84E2D">
      <w:pPr>
        <w:pStyle w:val="ListParagraph"/>
        <w:numPr>
          <w:ilvl w:val="0"/>
          <w:numId w:val="5"/>
        </w:numPr>
        <w:ind w:left="567" w:hanging="567"/>
        <w:jc w:val="both"/>
        <w:rPr>
          <w:rFonts w:ascii="Times New Roman" w:hAnsi="Times New Roman" w:cs="Times New Roman"/>
          <w:sz w:val="24"/>
          <w:szCs w:val="24"/>
        </w:rPr>
      </w:pPr>
      <w:r w:rsidRPr="00403B3F">
        <w:rPr>
          <w:rFonts w:ascii="Times New Roman" w:hAnsi="Times New Roman" w:cs="Times New Roman"/>
          <w:sz w:val="24"/>
          <w:szCs w:val="24"/>
        </w:rPr>
        <w:t xml:space="preserve">Lai prioritārais virziens iegūtu snieguma rezervi, visiem snieguma ietvarā iekļautajiem rādītājiem ir jāsasniedz vismaz 85% no izvirzītajām starpposma mērķa vērtībām līdz 2018.gada beigām. </w:t>
      </w:r>
      <w:r w:rsidR="000042EA">
        <w:rPr>
          <w:rFonts w:ascii="Times New Roman" w:hAnsi="Times New Roman" w:cs="Times New Roman"/>
          <w:sz w:val="24"/>
          <w:szCs w:val="24"/>
        </w:rPr>
        <w:t xml:space="preserve">Gadījumā, ja rādītāji tiek sasniegti zem 85%, snieguma rezerve prioritārajam virzienam netiek piešķirta. </w:t>
      </w:r>
      <w:r w:rsidRPr="00403B3F">
        <w:rPr>
          <w:rFonts w:ascii="Times New Roman" w:hAnsi="Times New Roman" w:cs="Times New Roman"/>
          <w:sz w:val="24"/>
          <w:szCs w:val="24"/>
        </w:rPr>
        <w:t xml:space="preserve">Savukārt, ja netiek sasniegts vismaz 65% no </w:t>
      </w:r>
      <w:r w:rsidRPr="00403B3F">
        <w:rPr>
          <w:rFonts w:ascii="Times New Roman" w:hAnsi="Times New Roman" w:cs="Times New Roman"/>
          <w:sz w:val="24"/>
          <w:szCs w:val="24"/>
        </w:rPr>
        <w:lastRenderedPageBreak/>
        <w:t xml:space="preserve">izvirzītajām starpposma mērķa vērtībām līdz 2018.gada beigām, to uzskata par nopietnu nepilnību un </w:t>
      </w:r>
      <w:r w:rsidR="000042EA">
        <w:rPr>
          <w:rFonts w:ascii="Times New Roman" w:hAnsi="Times New Roman" w:cs="Times New Roman"/>
          <w:sz w:val="24"/>
          <w:szCs w:val="24"/>
        </w:rPr>
        <w:t xml:space="preserve">papildu </w:t>
      </w:r>
      <w:r w:rsidRPr="00403B3F">
        <w:rPr>
          <w:rFonts w:ascii="Times New Roman" w:hAnsi="Times New Roman" w:cs="Times New Roman"/>
          <w:sz w:val="24"/>
          <w:szCs w:val="24"/>
        </w:rPr>
        <w:t>var tikt apturēti starpposma maksājumi un piemērota korekcija</w:t>
      </w:r>
      <w:r w:rsidR="00AA5825">
        <w:rPr>
          <w:rStyle w:val="FootnoteReference"/>
          <w:rFonts w:ascii="Times New Roman" w:hAnsi="Times New Roman" w:cs="Times New Roman"/>
          <w:sz w:val="24"/>
          <w:szCs w:val="24"/>
        </w:rPr>
        <w:footnoteReference w:id="3"/>
      </w:r>
      <w:r w:rsidRPr="00403B3F">
        <w:rPr>
          <w:rFonts w:ascii="Times New Roman" w:hAnsi="Times New Roman" w:cs="Times New Roman"/>
          <w:sz w:val="24"/>
          <w:szCs w:val="24"/>
        </w:rPr>
        <w:t xml:space="preserve">. </w:t>
      </w:r>
    </w:p>
    <w:p w14:paraId="0129F96B" w14:textId="77777777" w:rsidR="00403B3F" w:rsidRPr="00935C0E" w:rsidRDefault="00403B3F" w:rsidP="0082112C">
      <w:pPr>
        <w:pStyle w:val="ListParagraph"/>
        <w:ind w:left="0" w:hanging="567"/>
        <w:jc w:val="both"/>
        <w:rPr>
          <w:rFonts w:ascii="Times New Roman" w:hAnsi="Times New Roman" w:cs="Times New Roman"/>
          <w:sz w:val="24"/>
          <w:szCs w:val="24"/>
        </w:rPr>
      </w:pPr>
    </w:p>
    <w:p w14:paraId="42521EB1" w14:textId="77777777" w:rsidR="003046AF" w:rsidRPr="00935C0E" w:rsidRDefault="00194B8F" w:rsidP="00E31FE9">
      <w:pPr>
        <w:pStyle w:val="ListParagraph"/>
        <w:spacing w:before="240"/>
        <w:ind w:left="0"/>
        <w:jc w:val="center"/>
        <w:rPr>
          <w:rFonts w:ascii="Times New Roman" w:hAnsi="Times New Roman" w:cs="Times New Roman"/>
          <w:sz w:val="24"/>
          <w:szCs w:val="24"/>
        </w:rPr>
      </w:pPr>
      <w:r w:rsidRPr="00935C0E">
        <w:rPr>
          <w:rFonts w:ascii="Times New Roman" w:hAnsi="Times New Roman" w:cs="Times New Roman"/>
          <w:noProof/>
          <w:sz w:val="24"/>
          <w:szCs w:val="24"/>
          <w:lang w:eastAsia="lv-LV"/>
        </w:rPr>
        <w:drawing>
          <wp:inline distT="0" distB="0" distL="0" distR="0" wp14:anchorId="4A2E30F3" wp14:editId="6918C7F8">
            <wp:extent cx="5029200" cy="2991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873" cy="3008130"/>
                    </a:xfrm>
                    <a:prstGeom prst="rect">
                      <a:avLst/>
                    </a:prstGeom>
                    <a:noFill/>
                    <a:ln>
                      <a:noFill/>
                    </a:ln>
                  </pic:spPr>
                </pic:pic>
              </a:graphicData>
            </a:graphic>
          </wp:inline>
        </w:drawing>
      </w:r>
    </w:p>
    <w:p w14:paraId="63703535" w14:textId="557E6380" w:rsidR="00103676" w:rsidRPr="00935C0E" w:rsidRDefault="00FB2CE4" w:rsidP="00B84E2D">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bCs/>
          <w:sz w:val="24"/>
          <w:szCs w:val="24"/>
        </w:rPr>
        <w:t xml:space="preserve">Ņemot vērā Regulas Nr.1303/2013 nosacījumus, </w:t>
      </w:r>
      <w:r w:rsidR="00C1323E">
        <w:rPr>
          <w:rFonts w:ascii="Times New Roman" w:hAnsi="Times New Roman" w:cs="Times New Roman"/>
          <w:bCs/>
          <w:sz w:val="24"/>
          <w:szCs w:val="24"/>
        </w:rPr>
        <w:t xml:space="preserve">līdz attiecīga Eiropas Komisijas lēmuma pieņemšanas 2019.gadā </w:t>
      </w:r>
      <w:r w:rsidRPr="00CF4E3D">
        <w:rPr>
          <w:rFonts w:ascii="Times New Roman" w:hAnsi="Times New Roman" w:cs="Times New Roman"/>
          <w:b/>
          <w:bCs/>
          <w:sz w:val="24"/>
          <w:szCs w:val="24"/>
        </w:rPr>
        <w:t xml:space="preserve">snieguma rezerve nav </w:t>
      </w:r>
      <w:r w:rsidR="00DB5C30">
        <w:rPr>
          <w:rFonts w:ascii="Times New Roman" w:hAnsi="Times New Roman" w:cs="Times New Roman"/>
          <w:b/>
          <w:bCs/>
          <w:sz w:val="24"/>
          <w:szCs w:val="24"/>
        </w:rPr>
        <w:t xml:space="preserve"> uzskatāma par pieejamu finansējumu</w:t>
      </w:r>
      <w:r w:rsidR="00DB5C30" w:rsidRPr="00935C0E">
        <w:rPr>
          <w:rFonts w:ascii="Times New Roman" w:hAnsi="Times New Roman" w:cs="Times New Roman"/>
          <w:color w:val="000000" w:themeColor="text1"/>
          <w:sz w:val="24"/>
          <w:szCs w:val="24"/>
        </w:rPr>
        <w:t xml:space="preserve"> </w:t>
      </w:r>
      <w:r w:rsidRPr="00935C0E">
        <w:rPr>
          <w:rFonts w:ascii="Times New Roman" w:hAnsi="Times New Roman" w:cs="Times New Roman"/>
          <w:color w:val="000000" w:themeColor="text1"/>
          <w:sz w:val="24"/>
          <w:szCs w:val="24"/>
        </w:rPr>
        <w:t xml:space="preserve">un </w:t>
      </w:r>
      <w:r w:rsidR="00103676" w:rsidRPr="00935C0E">
        <w:rPr>
          <w:rFonts w:ascii="Times New Roman" w:hAnsi="Times New Roman" w:cs="Times New Roman"/>
          <w:color w:val="000000" w:themeColor="text1"/>
          <w:sz w:val="24"/>
          <w:szCs w:val="24"/>
        </w:rPr>
        <w:t>i</w:t>
      </w:r>
      <w:r w:rsidR="00194B8F" w:rsidRPr="00935C0E">
        <w:rPr>
          <w:rFonts w:ascii="Times New Roman" w:hAnsi="Times New Roman" w:cs="Times New Roman"/>
          <w:color w:val="000000" w:themeColor="text1"/>
          <w:sz w:val="24"/>
          <w:szCs w:val="24"/>
        </w:rPr>
        <w:t xml:space="preserve">zstrādājot SAM normatīvo regulējumu, </w:t>
      </w:r>
      <w:r w:rsidR="00DB5C30">
        <w:rPr>
          <w:rFonts w:ascii="Times New Roman" w:hAnsi="Times New Roman" w:cs="Times New Roman"/>
          <w:color w:val="000000" w:themeColor="text1"/>
          <w:sz w:val="24"/>
          <w:szCs w:val="24"/>
        </w:rPr>
        <w:t xml:space="preserve">attiecīgi </w:t>
      </w:r>
      <w:r w:rsidR="00194B8F" w:rsidRPr="00935C0E">
        <w:rPr>
          <w:rFonts w:ascii="Times New Roman" w:hAnsi="Times New Roman" w:cs="Times New Roman"/>
          <w:color w:val="000000" w:themeColor="text1"/>
          <w:sz w:val="24"/>
          <w:szCs w:val="24"/>
        </w:rPr>
        <w:t>atbildīg</w:t>
      </w:r>
      <w:r w:rsidR="00DB5C30">
        <w:rPr>
          <w:rFonts w:ascii="Times New Roman" w:hAnsi="Times New Roman" w:cs="Times New Roman"/>
          <w:color w:val="000000" w:themeColor="text1"/>
          <w:sz w:val="24"/>
          <w:szCs w:val="24"/>
        </w:rPr>
        <w:t>aj</w:t>
      </w:r>
      <w:r w:rsidR="00194B8F" w:rsidRPr="00935C0E">
        <w:rPr>
          <w:rFonts w:ascii="Times New Roman" w:hAnsi="Times New Roman" w:cs="Times New Roman"/>
          <w:color w:val="000000" w:themeColor="text1"/>
          <w:sz w:val="24"/>
          <w:szCs w:val="24"/>
        </w:rPr>
        <w:t>ā</w:t>
      </w:r>
      <w:r w:rsidR="00DB5C30">
        <w:rPr>
          <w:rFonts w:ascii="Times New Roman" w:hAnsi="Times New Roman" w:cs="Times New Roman"/>
          <w:color w:val="000000" w:themeColor="text1"/>
          <w:sz w:val="24"/>
          <w:szCs w:val="24"/>
        </w:rPr>
        <w:t>m</w:t>
      </w:r>
      <w:r w:rsidR="00194B8F" w:rsidRPr="00935C0E">
        <w:rPr>
          <w:rFonts w:ascii="Times New Roman" w:hAnsi="Times New Roman" w:cs="Times New Roman"/>
          <w:color w:val="000000" w:themeColor="text1"/>
          <w:sz w:val="24"/>
          <w:szCs w:val="24"/>
        </w:rPr>
        <w:t xml:space="preserve"> iestād</w:t>
      </w:r>
      <w:r w:rsidR="00DB5C30">
        <w:rPr>
          <w:rFonts w:ascii="Times New Roman" w:hAnsi="Times New Roman" w:cs="Times New Roman"/>
          <w:color w:val="000000" w:themeColor="text1"/>
          <w:sz w:val="24"/>
          <w:szCs w:val="24"/>
        </w:rPr>
        <w:t>ēm</w:t>
      </w:r>
      <w:r w:rsidR="00194B8F" w:rsidRPr="00935C0E">
        <w:rPr>
          <w:rFonts w:ascii="Times New Roman" w:hAnsi="Times New Roman" w:cs="Times New Roman"/>
          <w:color w:val="000000" w:themeColor="text1"/>
          <w:sz w:val="24"/>
          <w:szCs w:val="24"/>
        </w:rPr>
        <w:t xml:space="preserve"> </w:t>
      </w:r>
      <w:r w:rsidR="00194B8F" w:rsidRPr="00CF4E3D">
        <w:rPr>
          <w:rFonts w:ascii="Times New Roman" w:hAnsi="Times New Roman" w:cs="Times New Roman"/>
          <w:b/>
          <w:color w:val="000000" w:themeColor="text1"/>
          <w:sz w:val="24"/>
          <w:szCs w:val="24"/>
        </w:rPr>
        <w:t xml:space="preserve">līdz 2018.gada 31.decembrim </w:t>
      </w:r>
      <w:r w:rsidR="00103676" w:rsidRPr="00CF4E3D">
        <w:rPr>
          <w:rFonts w:ascii="Times New Roman" w:hAnsi="Times New Roman" w:cs="Times New Roman"/>
          <w:b/>
          <w:color w:val="000000" w:themeColor="text1"/>
          <w:sz w:val="24"/>
          <w:szCs w:val="24"/>
        </w:rPr>
        <w:t>jā</w:t>
      </w:r>
      <w:r w:rsidR="00194B8F" w:rsidRPr="00CF4E3D">
        <w:rPr>
          <w:rFonts w:ascii="Times New Roman" w:hAnsi="Times New Roman" w:cs="Times New Roman"/>
          <w:b/>
          <w:color w:val="000000" w:themeColor="text1"/>
          <w:sz w:val="24"/>
          <w:szCs w:val="24"/>
        </w:rPr>
        <w:t xml:space="preserve">plāno </w:t>
      </w:r>
      <w:r w:rsidR="00A20C7E">
        <w:rPr>
          <w:rFonts w:ascii="Times New Roman" w:hAnsi="Times New Roman" w:cs="Times New Roman"/>
          <w:b/>
          <w:color w:val="000000" w:themeColor="text1"/>
          <w:sz w:val="24"/>
          <w:szCs w:val="24"/>
        </w:rPr>
        <w:t>investīcijas tikai par</w:t>
      </w:r>
      <w:r w:rsidR="00194B8F" w:rsidRPr="00CF4E3D">
        <w:rPr>
          <w:rFonts w:ascii="Times New Roman" w:hAnsi="Times New Roman" w:cs="Times New Roman"/>
          <w:b/>
          <w:color w:val="000000" w:themeColor="text1"/>
          <w:sz w:val="24"/>
          <w:szCs w:val="24"/>
        </w:rPr>
        <w:t xml:space="preserve"> no pieejam</w:t>
      </w:r>
      <w:r w:rsidR="00A20C7E">
        <w:rPr>
          <w:rFonts w:ascii="Times New Roman" w:hAnsi="Times New Roman" w:cs="Times New Roman"/>
          <w:b/>
          <w:color w:val="000000" w:themeColor="text1"/>
          <w:sz w:val="24"/>
          <w:szCs w:val="24"/>
        </w:rPr>
        <w:t>o</w:t>
      </w:r>
      <w:r w:rsidR="00194B8F" w:rsidRPr="00CF4E3D">
        <w:rPr>
          <w:rFonts w:ascii="Times New Roman" w:hAnsi="Times New Roman" w:cs="Times New Roman"/>
          <w:b/>
          <w:color w:val="000000" w:themeColor="text1"/>
          <w:sz w:val="24"/>
          <w:szCs w:val="24"/>
        </w:rPr>
        <w:t xml:space="preserve"> ES fondu finansējum</w:t>
      </w:r>
      <w:r w:rsidR="00A20C7E">
        <w:rPr>
          <w:rFonts w:ascii="Times New Roman" w:hAnsi="Times New Roman" w:cs="Times New Roman"/>
          <w:b/>
          <w:color w:val="000000" w:themeColor="text1"/>
          <w:sz w:val="24"/>
          <w:szCs w:val="24"/>
        </w:rPr>
        <w:t>u (bez rezerves)</w:t>
      </w:r>
      <w:r w:rsidRPr="00935C0E">
        <w:rPr>
          <w:rFonts w:ascii="Times New Roman" w:hAnsi="Times New Roman" w:cs="Times New Roman"/>
          <w:color w:val="000000" w:themeColor="text1"/>
          <w:sz w:val="24"/>
          <w:szCs w:val="24"/>
        </w:rPr>
        <w:t xml:space="preserve"> </w:t>
      </w:r>
      <w:r w:rsidR="00DB5C30">
        <w:rPr>
          <w:rFonts w:ascii="Times New Roman" w:hAnsi="Times New Roman" w:cs="Times New Roman"/>
          <w:color w:val="000000" w:themeColor="text1"/>
          <w:sz w:val="24"/>
          <w:szCs w:val="24"/>
        </w:rPr>
        <w:t xml:space="preserve">tai skaitā </w:t>
      </w:r>
      <w:r w:rsidRPr="00935C0E">
        <w:rPr>
          <w:rFonts w:ascii="Times New Roman" w:hAnsi="Times New Roman" w:cs="Times New Roman"/>
          <w:color w:val="000000" w:themeColor="text1"/>
          <w:sz w:val="24"/>
          <w:szCs w:val="24"/>
        </w:rPr>
        <w:t xml:space="preserve">atbilstoši FM vadlīnijām Nr.2.2. “Vadlīnijas Ministru kabineta noteikumu par specifiskā atbalsta mērķa īstenošanu izstrādei”, MK noteikumos par SAM/pasākuma īstenošanu norādot </w:t>
      </w:r>
      <w:r w:rsidR="00CF4E3D">
        <w:rPr>
          <w:rFonts w:ascii="Times New Roman" w:hAnsi="Times New Roman" w:cs="Times New Roman"/>
          <w:color w:val="000000" w:themeColor="text1"/>
          <w:sz w:val="24"/>
          <w:szCs w:val="24"/>
        </w:rPr>
        <w:t xml:space="preserve">kopā </w:t>
      </w:r>
      <w:r w:rsidRPr="00935C0E">
        <w:rPr>
          <w:rFonts w:ascii="Times New Roman" w:hAnsi="Times New Roman" w:cs="Times New Roman"/>
          <w:color w:val="000000" w:themeColor="text1"/>
          <w:sz w:val="24"/>
          <w:szCs w:val="24"/>
        </w:rPr>
        <w:t>plānoto finansējumu un līdz 2018.gada 31.decembrim pieejamo finansējumu</w:t>
      </w:r>
      <w:r w:rsidR="00DB5C30">
        <w:rPr>
          <w:rFonts w:ascii="Times New Roman" w:hAnsi="Times New Roman" w:cs="Times New Roman"/>
          <w:color w:val="000000" w:themeColor="text1"/>
          <w:sz w:val="24"/>
          <w:szCs w:val="24"/>
        </w:rPr>
        <w:t>, par kuru var uzņemties saistības</w:t>
      </w:r>
      <w:r w:rsidR="00194B8F" w:rsidRPr="00935C0E">
        <w:rPr>
          <w:rFonts w:ascii="Times New Roman" w:hAnsi="Times New Roman" w:cs="Times New Roman"/>
          <w:color w:val="000000" w:themeColor="text1"/>
          <w:sz w:val="24"/>
          <w:szCs w:val="24"/>
        </w:rPr>
        <w:t xml:space="preserve">. </w:t>
      </w:r>
    </w:p>
    <w:p w14:paraId="317BC7CB" w14:textId="10FAB5CA" w:rsidR="00761385" w:rsidRPr="00761385" w:rsidRDefault="00FB2CE4" w:rsidP="00D1668B">
      <w:pPr>
        <w:jc w:val="center"/>
      </w:pPr>
      <w:r w:rsidRPr="00935C0E">
        <w:rPr>
          <w:rFonts w:ascii="Times New Roman" w:hAnsi="Times New Roman" w:cs="Times New Roman"/>
          <w:b/>
          <w:sz w:val="24"/>
          <w:szCs w:val="24"/>
        </w:rPr>
        <w:t>II Snieguma rezerves piemērošanas mehānismi</w:t>
      </w:r>
      <w:r w:rsidR="00962A4E" w:rsidRPr="00935C0E">
        <w:rPr>
          <w:rFonts w:ascii="Times New Roman" w:hAnsi="Times New Roman" w:cs="Times New Roman"/>
          <w:b/>
          <w:sz w:val="24"/>
          <w:szCs w:val="24"/>
        </w:rPr>
        <w:t xml:space="preserve"> </w:t>
      </w:r>
    </w:p>
    <w:p w14:paraId="513E7DC6" w14:textId="3B206751" w:rsidR="00761385" w:rsidRDefault="00761385" w:rsidP="00761385">
      <w:pPr>
        <w:pStyle w:val="ListParagraph"/>
        <w:numPr>
          <w:ilvl w:val="0"/>
          <w:numId w:val="5"/>
        </w:numPr>
        <w:ind w:left="567" w:hanging="567"/>
        <w:jc w:val="both"/>
        <w:rPr>
          <w:rFonts w:ascii="Times New Roman" w:hAnsi="Times New Roman" w:cs="Times New Roman"/>
          <w:sz w:val="24"/>
          <w:szCs w:val="24"/>
        </w:rPr>
      </w:pPr>
      <w:r>
        <w:rPr>
          <w:rFonts w:ascii="Times New Roman" w:hAnsi="Times New Roman" w:cs="Times New Roman"/>
          <w:sz w:val="24"/>
          <w:szCs w:val="24"/>
        </w:rPr>
        <w:t>L</w:t>
      </w:r>
      <w:r w:rsidRPr="00FF6909">
        <w:rPr>
          <w:rFonts w:ascii="Times New Roman" w:hAnsi="Times New Roman" w:cs="Times New Roman"/>
          <w:sz w:val="24"/>
          <w:szCs w:val="24"/>
        </w:rPr>
        <w:t>ai nodrošinātu snieguma rezerves piemērošanu</w:t>
      </w:r>
      <w:r>
        <w:rPr>
          <w:rFonts w:ascii="Times New Roman" w:hAnsi="Times New Roman" w:cs="Times New Roman"/>
          <w:sz w:val="24"/>
          <w:szCs w:val="24"/>
        </w:rPr>
        <w:t>,</w:t>
      </w:r>
      <w:r w:rsidRPr="00FF6909">
        <w:rPr>
          <w:rFonts w:ascii="Times New Roman" w:hAnsi="Times New Roman" w:cs="Times New Roman"/>
          <w:sz w:val="24"/>
          <w:szCs w:val="24"/>
        </w:rPr>
        <w:t xml:space="preserve"> </w:t>
      </w:r>
      <w:r>
        <w:rPr>
          <w:rFonts w:ascii="Times New Roman" w:hAnsi="Times New Roman" w:cs="Times New Roman"/>
          <w:sz w:val="24"/>
          <w:szCs w:val="24"/>
        </w:rPr>
        <w:t>i</w:t>
      </w:r>
      <w:r w:rsidRPr="00FF6909">
        <w:rPr>
          <w:rFonts w:ascii="Times New Roman" w:hAnsi="Times New Roman" w:cs="Times New Roman"/>
          <w:sz w:val="24"/>
          <w:szCs w:val="24"/>
        </w:rPr>
        <w:t>r iespējami vairāki varianti, attiecīgu regulējumu ietverot M</w:t>
      </w:r>
      <w:r>
        <w:rPr>
          <w:rFonts w:ascii="Times New Roman" w:hAnsi="Times New Roman" w:cs="Times New Roman"/>
          <w:sz w:val="24"/>
          <w:szCs w:val="24"/>
        </w:rPr>
        <w:t>K noteikumos par SAM/pasākuma īstenošanu.</w:t>
      </w:r>
    </w:p>
    <w:p w14:paraId="2A0E1CF1" w14:textId="77777777" w:rsidR="00C1323E" w:rsidRDefault="00C1323E" w:rsidP="00D1668B">
      <w:pPr>
        <w:pStyle w:val="ListParagraph"/>
        <w:ind w:left="567"/>
        <w:jc w:val="both"/>
        <w:rPr>
          <w:rFonts w:ascii="Times New Roman" w:hAnsi="Times New Roman" w:cs="Times New Roman"/>
          <w:sz w:val="24"/>
          <w:szCs w:val="24"/>
        </w:rPr>
      </w:pPr>
    </w:p>
    <w:p w14:paraId="42EA8E8F" w14:textId="5D634AB3" w:rsidR="00761385" w:rsidRDefault="00DC101E" w:rsidP="00D1668B">
      <w:pPr>
        <w:pStyle w:val="ListParagraph"/>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761385">
        <w:rPr>
          <w:rFonts w:ascii="Times New Roman" w:hAnsi="Times New Roman" w:cs="Times New Roman"/>
          <w:sz w:val="24"/>
          <w:szCs w:val="24"/>
        </w:rPr>
        <w:t>A</w:t>
      </w:r>
      <w:r w:rsidR="00761385" w:rsidRPr="00270314">
        <w:rPr>
          <w:rFonts w:ascii="Times New Roman" w:hAnsi="Times New Roman" w:cs="Times New Roman"/>
          <w:sz w:val="24"/>
          <w:szCs w:val="24"/>
        </w:rPr>
        <w:t xml:space="preserve">tbildīgā iestāde </w:t>
      </w:r>
      <w:r w:rsidR="00761385">
        <w:rPr>
          <w:rFonts w:ascii="Times New Roman" w:hAnsi="Times New Roman" w:cs="Times New Roman"/>
          <w:sz w:val="24"/>
          <w:szCs w:val="24"/>
        </w:rPr>
        <w:t>var pieņemt lēmumu izmantot visu SAM/pasākuma plānoto finansējumu, j</w:t>
      </w:r>
      <w:r w:rsidR="00761385" w:rsidRPr="00FF6909">
        <w:rPr>
          <w:rFonts w:ascii="Times New Roman" w:hAnsi="Times New Roman" w:cs="Times New Roman"/>
          <w:sz w:val="24"/>
          <w:szCs w:val="24"/>
        </w:rPr>
        <w:t xml:space="preserve">a </w:t>
      </w:r>
      <w:r w:rsidR="00761385">
        <w:rPr>
          <w:rFonts w:ascii="Times New Roman" w:hAnsi="Times New Roman" w:cs="Times New Roman"/>
          <w:sz w:val="24"/>
          <w:szCs w:val="24"/>
        </w:rPr>
        <w:t xml:space="preserve">konkrētā </w:t>
      </w:r>
      <w:r w:rsidR="00761385" w:rsidRPr="00FF6909">
        <w:rPr>
          <w:rFonts w:ascii="Times New Roman" w:hAnsi="Times New Roman" w:cs="Times New Roman"/>
          <w:sz w:val="24"/>
          <w:szCs w:val="24"/>
        </w:rPr>
        <w:t>SAM</w:t>
      </w:r>
      <w:r w:rsidR="00761385">
        <w:rPr>
          <w:rFonts w:ascii="Times New Roman" w:hAnsi="Times New Roman" w:cs="Times New Roman"/>
          <w:sz w:val="24"/>
          <w:szCs w:val="24"/>
        </w:rPr>
        <w:t>/pasākuma</w:t>
      </w:r>
      <w:r w:rsidR="00761385" w:rsidRPr="00FF6909">
        <w:rPr>
          <w:rFonts w:ascii="Times New Roman" w:hAnsi="Times New Roman" w:cs="Times New Roman"/>
          <w:sz w:val="24"/>
          <w:szCs w:val="24"/>
        </w:rPr>
        <w:t xml:space="preserve"> ietvaros snieguma rezervi nav iespējams piemērot</w:t>
      </w:r>
      <w:r w:rsidR="00761385">
        <w:rPr>
          <w:rFonts w:ascii="Times New Roman" w:hAnsi="Times New Roman" w:cs="Times New Roman"/>
          <w:sz w:val="24"/>
          <w:szCs w:val="24"/>
        </w:rPr>
        <w:t xml:space="preserve"> (piemēram, </w:t>
      </w:r>
      <w:r w:rsidR="00761385" w:rsidRPr="00935C0E">
        <w:rPr>
          <w:rFonts w:ascii="Times New Roman" w:hAnsi="Times New Roman" w:cs="Times New Roman"/>
          <w:color w:val="000000" w:themeColor="text1"/>
          <w:sz w:val="24"/>
          <w:szCs w:val="24"/>
        </w:rPr>
        <w:t>gadījumos, ja SAM</w:t>
      </w:r>
      <w:r w:rsidR="00761385">
        <w:rPr>
          <w:rFonts w:ascii="Times New Roman" w:hAnsi="Times New Roman" w:cs="Times New Roman"/>
          <w:color w:val="000000" w:themeColor="text1"/>
          <w:sz w:val="24"/>
          <w:szCs w:val="24"/>
        </w:rPr>
        <w:t>/pasākumā</w:t>
      </w:r>
      <w:r w:rsidR="00761385" w:rsidRPr="00761385">
        <w:rPr>
          <w:rFonts w:ascii="Times New Roman" w:hAnsi="Times New Roman" w:cs="Times New Roman"/>
          <w:color w:val="000000" w:themeColor="text1"/>
          <w:sz w:val="24"/>
          <w:szCs w:val="24"/>
        </w:rPr>
        <w:t xml:space="preserve"> </w:t>
      </w:r>
      <w:r w:rsidR="00761385" w:rsidRPr="00270314">
        <w:rPr>
          <w:rFonts w:ascii="Times New Roman" w:hAnsi="Times New Roman" w:cs="Times New Roman"/>
          <w:color w:val="000000" w:themeColor="text1"/>
          <w:sz w:val="24"/>
          <w:szCs w:val="24"/>
        </w:rPr>
        <w:t>ir tikai viens vai daži projekti, ko nav iespējams sadalīt un/vai atlikt to īstenošanu pēc 2018.gada)</w:t>
      </w:r>
      <w:r w:rsidR="00761385" w:rsidRPr="00270314">
        <w:rPr>
          <w:rFonts w:ascii="Times New Roman" w:hAnsi="Times New Roman" w:cs="Times New Roman"/>
          <w:sz w:val="24"/>
          <w:szCs w:val="24"/>
        </w:rPr>
        <w:t xml:space="preserve">, </w:t>
      </w:r>
      <w:r w:rsidR="00761385">
        <w:rPr>
          <w:rFonts w:ascii="Times New Roman" w:hAnsi="Times New Roman" w:cs="Times New Roman"/>
          <w:sz w:val="24"/>
          <w:szCs w:val="24"/>
        </w:rPr>
        <w:t xml:space="preserve">un rezervi </w:t>
      </w:r>
      <w:r w:rsidR="00761385" w:rsidRPr="00270314">
        <w:rPr>
          <w:rFonts w:ascii="Times New Roman" w:hAnsi="Times New Roman" w:cs="Times New Roman"/>
          <w:sz w:val="24"/>
          <w:szCs w:val="24"/>
        </w:rPr>
        <w:t>“pārlikt” uz citu SAM</w:t>
      </w:r>
      <w:r w:rsidR="00761385">
        <w:rPr>
          <w:rFonts w:ascii="Times New Roman" w:hAnsi="Times New Roman" w:cs="Times New Roman"/>
          <w:sz w:val="24"/>
          <w:szCs w:val="24"/>
        </w:rPr>
        <w:t>/pasākumu</w:t>
      </w:r>
      <w:r w:rsidR="00761385" w:rsidRPr="00270314">
        <w:rPr>
          <w:rFonts w:ascii="Times New Roman" w:hAnsi="Times New Roman" w:cs="Times New Roman"/>
          <w:sz w:val="24"/>
          <w:szCs w:val="24"/>
        </w:rPr>
        <w:t xml:space="preserve"> tā paša prioritārā virziena un fonda ietvaros</w:t>
      </w:r>
      <w:r w:rsidR="00761385">
        <w:rPr>
          <w:rFonts w:ascii="Times New Roman" w:hAnsi="Times New Roman" w:cs="Times New Roman"/>
          <w:sz w:val="24"/>
          <w:szCs w:val="24"/>
        </w:rPr>
        <w:t>, attiecīgi tajā samazinot pieejamo finansējumu</w:t>
      </w:r>
      <w:r w:rsidR="00761385" w:rsidRPr="00270314">
        <w:rPr>
          <w:rFonts w:ascii="Times New Roman" w:hAnsi="Times New Roman" w:cs="Times New Roman"/>
          <w:sz w:val="24"/>
          <w:szCs w:val="24"/>
        </w:rPr>
        <w:t>.</w:t>
      </w:r>
    </w:p>
    <w:p w14:paraId="3C23DAE1" w14:textId="48E233C5" w:rsidR="00103676" w:rsidRPr="00D1668B" w:rsidRDefault="00DC101E" w:rsidP="00D1668B">
      <w:pPr>
        <w:ind w:left="567"/>
        <w:jc w:val="both"/>
        <w:rPr>
          <w:rFonts w:ascii="Times New Roman" w:hAnsi="Times New Roman" w:cs="Times New Roman"/>
          <w:sz w:val="24"/>
          <w:szCs w:val="24"/>
        </w:rPr>
      </w:pPr>
      <w:r w:rsidRPr="00DC2B51">
        <w:rPr>
          <w:rFonts w:ascii="Times New Roman" w:hAnsi="Times New Roman" w:cs="Times New Roman"/>
          <w:sz w:val="24"/>
          <w:szCs w:val="24"/>
        </w:rPr>
        <w:t xml:space="preserve">2) </w:t>
      </w:r>
      <w:r w:rsidR="00761385" w:rsidRPr="00D1668B">
        <w:rPr>
          <w:rFonts w:ascii="Times New Roman" w:hAnsi="Times New Roman" w:cs="Times New Roman"/>
          <w:sz w:val="24"/>
          <w:szCs w:val="24"/>
        </w:rPr>
        <w:t xml:space="preserve">Ja uz </w:t>
      </w:r>
      <w:r w:rsidR="00103676" w:rsidRPr="00D1668B">
        <w:rPr>
          <w:rFonts w:ascii="Times New Roman" w:hAnsi="Times New Roman" w:cs="Times New Roman"/>
          <w:sz w:val="24"/>
          <w:szCs w:val="24"/>
        </w:rPr>
        <w:t>SAM</w:t>
      </w:r>
      <w:r w:rsidR="00761385" w:rsidRPr="00D1668B">
        <w:rPr>
          <w:rFonts w:ascii="Times New Roman" w:hAnsi="Times New Roman" w:cs="Times New Roman"/>
          <w:sz w:val="24"/>
          <w:szCs w:val="24"/>
        </w:rPr>
        <w:t>/pasākumu</w:t>
      </w:r>
      <w:r w:rsidR="00103676" w:rsidRPr="00D1668B">
        <w:rPr>
          <w:rFonts w:ascii="Times New Roman" w:hAnsi="Times New Roman" w:cs="Times New Roman"/>
          <w:sz w:val="24"/>
          <w:szCs w:val="24"/>
        </w:rPr>
        <w:t xml:space="preserve"> </w:t>
      </w:r>
      <w:r w:rsidR="00761385" w:rsidRPr="00D1668B">
        <w:rPr>
          <w:rFonts w:ascii="Times New Roman" w:hAnsi="Times New Roman" w:cs="Times New Roman"/>
          <w:sz w:val="24"/>
          <w:szCs w:val="24"/>
        </w:rPr>
        <w:t xml:space="preserve">attiecas </w:t>
      </w:r>
      <w:r w:rsidR="00103676" w:rsidRPr="00D1668B">
        <w:rPr>
          <w:rFonts w:ascii="Times New Roman" w:hAnsi="Times New Roman" w:cs="Times New Roman"/>
          <w:sz w:val="24"/>
          <w:szCs w:val="24"/>
        </w:rPr>
        <w:t>snieguma rezerve</w:t>
      </w:r>
      <w:r w:rsidR="00761385" w:rsidRPr="00D1668B">
        <w:rPr>
          <w:rFonts w:ascii="Times New Roman" w:hAnsi="Times New Roman" w:cs="Times New Roman"/>
          <w:sz w:val="24"/>
          <w:szCs w:val="24"/>
        </w:rPr>
        <w:t xml:space="preserve">, tad, ievērojot tās apmēru, </w:t>
      </w:r>
      <w:r w:rsidR="004D7BCF" w:rsidRPr="00D1668B">
        <w:rPr>
          <w:rFonts w:ascii="Times New Roman" w:hAnsi="Times New Roman" w:cs="Times New Roman"/>
          <w:sz w:val="24"/>
          <w:szCs w:val="24"/>
        </w:rPr>
        <w:t>MK noteikumos par SAM</w:t>
      </w:r>
      <w:r w:rsidR="00761385" w:rsidRPr="00D1668B">
        <w:rPr>
          <w:rFonts w:ascii="Times New Roman" w:hAnsi="Times New Roman" w:cs="Times New Roman"/>
          <w:sz w:val="24"/>
          <w:szCs w:val="24"/>
        </w:rPr>
        <w:t>/pasākuma</w:t>
      </w:r>
      <w:r w:rsidR="004D7BCF" w:rsidRPr="00D1668B">
        <w:rPr>
          <w:rFonts w:ascii="Times New Roman" w:hAnsi="Times New Roman" w:cs="Times New Roman"/>
          <w:sz w:val="24"/>
          <w:szCs w:val="24"/>
        </w:rPr>
        <w:t xml:space="preserve"> īstenošanu atbilstoši FM Vadlīnijām Nr.2.2. ir </w:t>
      </w:r>
      <w:r w:rsidRPr="00D1668B">
        <w:rPr>
          <w:rFonts w:ascii="Times New Roman" w:hAnsi="Times New Roman" w:cs="Times New Roman"/>
          <w:sz w:val="24"/>
          <w:szCs w:val="24"/>
        </w:rPr>
        <w:t xml:space="preserve">skaidri </w:t>
      </w:r>
      <w:r w:rsidR="004D7BCF" w:rsidRPr="00D1668B">
        <w:rPr>
          <w:rFonts w:ascii="Times New Roman" w:hAnsi="Times New Roman" w:cs="Times New Roman"/>
          <w:sz w:val="24"/>
          <w:szCs w:val="24"/>
        </w:rPr>
        <w:t xml:space="preserve">jāparedz, kāds ir pieejamais ES fondu finansējuma apmērs, par </w:t>
      </w:r>
      <w:r>
        <w:rPr>
          <w:rFonts w:ascii="Times New Roman" w:hAnsi="Times New Roman" w:cs="Times New Roman"/>
          <w:sz w:val="24"/>
          <w:szCs w:val="24"/>
        </w:rPr>
        <w:t>ko attiecīgi</w:t>
      </w:r>
      <w:r w:rsidR="004D7BCF" w:rsidRPr="00D1668B">
        <w:rPr>
          <w:rFonts w:ascii="Times New Roman" w:hAnsi="Times New Roman" w:cs="Times New Roman"/>
          <w:sz w:val="24"/>
          <w:szCs w:val="24"/>
        </w:rPr>
        <w:t xml:space="preserve"> </w:t>
      </w:r>
      <w:r w:rsidRPr="00D1668B">
        <w:rPr>
          <w:rFonts w:ascii="Times New Roman" w:hAnsi="Times New Roman" w:cs="Times New Roman"/>
          <w:sz w:val="24"/>
          <w:szCs w:val="24"/>
        </w:rPr>
        <w:t xml:space="preserve">finansējuma saņēmējiem </w:t>
      </w:r>
      <w:r w:rsidR="004D7BCF" w:rsidRPr="00D1668B">
        <w:rPr>
          <w:rFonts w:ascii="Times New Roman" w:hAnsi="Times New Roman" w:cs="Times New Roman"/>
          <w:sz w:val="24"/>
          <w:szCs w:val="24"/>
        </w:rPr>
        <w:t xml:space="preserve">iespējams </w:t>
      </w:r>
      <w:r w:rsidR="004D7BCF" w:rsidRPr="00D1668B">
        <w:rPr>
          <w:rFonts w:ascii="Times New Roman" w:hAnsi="Times New Roman" w:cs="Times New Roman"/>
          <w:sz w:val="24"/>
          <w:szCs w:val="24"/>
        </w:rPr>
        <w:lastRenderedPageBreak/>
        <w:t>uzņemties saistības līdz 2018.gada 31.decembrim.</w:t>
      </w:r>
      <w:r w:rsidR="00761385" w:rsidRPr="00D1668B">
        <w:rPr>
          <w:rFonts w:ascii="Times New Roman" w:hAnsi="Times New Roman" w:cs="Times New Roman"/>
          <w:sz w:val="24"/>
          <w:szCs w:val="24"/>
        </w:rPr>
        <w:t xml:space="preserve"> SAM/pasākums tiek īstenots par pieejamo finansējumu, proporcionāli plānojot arī </w:t>
      </w:r>
      <w:r w:rsidRPr="00D1668B">
        <w:rPr>
          <w:rFonts w:ascii="Times New Roman" w:hAnsi="Times New Roman" w:cs="Times New Roman"/>
          <w:sz w:val="24"/>
          <w:szCs w:val="24"/>
        </w:rPr>
        <w:t xml:space="preserve">SAM/pasākuma </w:t>
      </w:r>
      <w:r w:rsidR="00761385" w:rsidRPr="00D1668B">
        <w:rPr>
          <w:rFonts w:ascii="Times New Roman" w:hAnsi="Times New Roman" w:cs="Times New Roman"/>
          <w:sz w:val="24"/>
          <w:szCs w:val="24"/>
        </w:rPr>
        <w:t xml:space="preserve">sasniedzamos </w:t>
      </w:r>
      <w:r w:rsidRPr="00D1668B">
        <w:rPr>
          <w:rFonts w:ascii="Times New Roman" w:hAnsi="Times New Roman" w:cs="Times New Roman"/>
          <w:sz w:val="24"/>
          <w:szCs w:val="24"/>
        </w:rPr>
        <w:t>rādītājus. Snieguma rezerves saņemšanās gadījumā var tikt izsludināta jauna atlase, aicinot iesniegt jaunus projektu iesniegumus</w:t>
      </w:r>
      <w:r w:rsidR="006D6ED7">
        <w:rPr>
          <w:rFonts w:ascii="Times New Roman" w:hAnsi="Times New Roman" w:cs="Times New Roman"/>
          <w:sz w:val="24"/>
          <w:szCs w:val="24"/>
        </w:rPr>
        <w:t>.</w:t>
      </w:r>
      <w:r w:rsidRPr="00D1668B">
        <w:rPr>
          <w:rFonts w:ascii="Times New Roman" w:hAnsi="Times New Roman" w:cs="Times New Roman"/>
          <w:sz w:val="24"/>
          <w:szCs w:val="24"/>
        </w:rPr>
        <w:t xml:space="preserve"> </w:t>
      </w:r>
      <w:r w:rsidR="006D6ED7">
        <w:rPr>
          <w:rFonts w:ascii="Times New Roman" w:hAnsi="Times New Roman" w:cs="Times New Roman"/>
          <w:sz w:val="24"/>
          <w:szCs w:val="24"/>
        </w:rPr>
        <w:t xml:space="preserve">Šī risinājuma ietvaros </w:t>
      </w:r>
      <w:r w:rsidRPr="00D1668B">
        <w:rPr>
          <w:rFonts w:ascii="Times New Roman" w:hAnsi="Times New Roman" w:cs="Times New Roman"/>
          <w:sz w:val="24"/>
          <w:szCs w:val="24"/>
        </w:rPr>
        <w:t>ierobe</w:t>
      </w:r>
      <w:r w:rsidR="006D6ED7" w:rsidRPr="00DC2B51">
        <w:rPr>
          <w:rFonts w:ascii="Times New Roman" w:hAnsi="Times New Roman" w:cs="Times New Roman"/>
          <w:sz w:val="24"/>
          <w:szCs w:val="24"/>
        </w:rPr>
        <w:t>žotas projektu atlases gadījumā past</w:t>
      </w:r>
      <w:r w:rsidR="006D6ED7">
        <w:rPr>
          <w:rFonts w:ascii="Times New Roman" w:hAnsi="Times New Roman" w:cs="Times New Roman"/>
          <w:sz w:val="24"/>
          <w:szCs w:val="24"/>
        </w:rPr>
        <w:t xml:space="preserve">āv arī iespēja, ka nevis tiek iesniegti jauni projekti, bet </w:t>
      </w:r>
      <w:r w:rsidR="00962A4E" w:rsidRPr="00D1668B">
        <w:rPr>
          <w:rFonts w:ascii="Times New Roman" w:hAnsi="Times New Roman" w:cs="Times New Roman"/>
          <w:sz w:val="24"/>
          <w:szCs w:val="24"/>
        </w:rPr>
        <w:t>finansējuma saņēmēj</w:t>
      </w:r>
      <w:r w:rsidRPr="00D1668B">
        <w:rPr>
          <w:rFonts w:ascii="Times New Roman" w:hAnsi="Times New Roman" w:cs="Times New Roman"/>
          <w:sz w:val="24"/>
          <w:szCs w:val="24"/>
        </w:rPr>
        <w:t>i</w:t>
      </w:r>
      <w:r w:rsidR="00962A4E" w:rsidRPr="00D1668B">
        <w:rPr>
          <w:rFonts w:ascii="Times New Roman" w:hAnsi="Times New Roman" w:cs="Times New Roman"/>
          <w:sz w:val="24"/>
          <w:szCs w:val="24"/>
        </w:rPr>
        <w:t xml:space="preserve"> var tikt aicināt</w:t>
      </w:r>
      <w:r w:rsidRPr="00D1668B">
        <w:rPr>
          <w:rFonts w:ascii="Times New Roman" w:hAnsi="Times New Roman" w:cs="Times New Roman"/>
          <w:sz w:val="24"/>
          <w:szCs w:val="24"/>
        </w:rPr>
        <w:t>i</w:t>
      </w:r>
      <w:r w:rsidR="00962A4E" w:rsidRPr="00D1668B">
        <w:rPr>
          <w:rFonts w:ascii="Times New Roman" w:hAnsi="Times New Roman" w:cs="Times New Roman"/>
          <w:sz w:val="24"/>
          <w:szCs w:val="24"/>
        </w:rPr>
        <w:t xml:space="preserve"> ierosināt grozījumus</w:t>
      </w:r>
      <w:r w:rsidR="00CF4E3D" w:rsidRPr="00DC2B51">
        <w:rPr>
          <w:rStyle w:val="FootnoteReference"/>
          <w:rFonts w:ascii="Times New Roman" w:hAnsi="Times New Roman" w:cs="Times New Roman"/>
          <w:sz w:val="24"/>
          <w:szCs w:val="24"/>
        </w:rPr>
        <w:footnoteReference w:id="4"/>
      </w:r>
      <w:r w:rsidR="00962A4E" w:rsidRPr="00D1668B">
        <w:rPr>
          <w:rFonts w:ascii="Times New Roman" w:hAnsi="Times New Roman" w:cs="Times New Roman"/>
          <w:sz w:val="24"/>
          <w:szCs w:val="24"/>
        </w:rPr>
        <w:t xml:space="preserve"> </w:t>
      </w:r>
      <w:r w:rsidRPr="00D1668B">
        <w:rPr>
          <w:rFonts w:ascii="Times New Roman" w:hAnsi="Times New Roman" w:cs="Times New Roman"/>
          <w:sz w:val="24"/>
          <w:szCs w:val="24"/>
        </w:rPr>
        <w:t xml:space="preserve">īstenošanā </w:t>
      </w:r>
      <w:r w:rsidR="00962A4E" w:rsidRPr="00D1668B">
        <w:rPr>
          <w:rFonts w:ascii="Times New Roman" w:hAnsi="Times New Roman" w:cs="Times New Roman"/>
          <w:sz w:val="24"/>
          <w:szCs w:val="24"/>
        </w:rPr>
        <w:t xml:space="preserve">esošā projektā, paredzot </w:t>
      </w:r>
      <w:r w:rsidRPr="00D1668B">
        <w:rPr>
          <w:rFonts w:ascii="Times New Roman" w:hAnsi="Times New Roman" w:cs="Times New Roman"/>
          <w:sz w:val="24"/>
          <w:szCs w:val="24"/>
        </w:rPr>
        <w:t xml:space="preserve">projektā </w:t>
      </w:r>
      <w:r w:rsidR="00962A4E" w:rsidRPr="00D1668B">
        <w:rPr>
          <w:rFonts w:ascii="Times New Roman" w:hAnsi="Times New Roman" w:cs="Times New Roman"/>
          <w:sz w:val="24"/>
          <w:szCs w:val="24"/>
        </w:rPr>
        <w:t>papildu darbības</w:t>
      </w:r>
      <w:r w:rsidR="00354CF9">
        <w:rPr>
          <w:rFonts w:ascii="Times New Roman" w:hAnsi="Times New Roman" w:cs="Times New Roman"/>
          <w:sz w:val="24"/>
          <w:szCs w:val="24"/>
        </w:rPr>
        <w:t xml:space="preserve"> un rezultātus</w:t>
      </w:r>
      <w:r w:rsidR="00962A4E" w:rsidRPr="00D1668B">
        <w:rPr>
          <w:rFonts w:ascii="Times New Roman" w:hAnsi="Times New Roman" w:cs="Times New Roman"/>
          <w:sz w:val="24"/>
          <w:szCs w:val="24"/>
        </w:rPr>
        <w:t>.</w:t>
      </w:r>
      <w:r w:rsidR="004D7BCF" w:rsidRPr="00D1668B">
        <w:rPr>
          <w:rFonts w:ascii="Times New Roman" w:hAnsi="Times New Roman" w:cs="Times New Roman"/>
          <w:sz w:val="24"/>
          <w:szCs w:val="24"/>
        </w:rPr>
        <w:t xml:space="preserve"> </w:t>
      </w:r>
    </w:p>
    <w:p w14:paraId="4690C54D" w14:textId="5A01EB2E" w:rsidR="00962A4E" w:rsidRPr="00403B3F" w:rsidRDefault="00962A4E" w:rsidP="00CF4E3D">
      <w:pPr>
        <w:jc w:val="both"/>
        <w:rPr>
          <w:rFonts w:ascii="Times New Roman" w:hAnsi="Times New Roman" w:cs="Times New Roman"/>
          <w:i/>
          <w:sz w:val="24"/>
          <w:szCs w:val="24"/>
        </w:rPr>
      </w:pPr>
      <w:r w:rsidRPr="00403B3F">
        <w:rPr>
          <w:rFonts w:ascii="Times New Roman" w:hAnsi="Times New Roman" w:cs="Times New Roman"/>
          <w:i/>
          <w:color w:val="FF0000"/>
          <w:sz w:val="24"/>
          <w:szCs w:val="24"/>
        </w:rPr>
        <w:t xml:space="preserve">NB! </w:t>
      </w:r>
      <w:r w:rsidR="00DC101E">
        <w:rPr>
          <w:rFonts w:ascii="Times New Roman" w:hAnsi="Times New Roman" w:cs="Times New Roman"/>
          <w:i/>
          <w:sz w:val="24"/>
          <w:szCs w:val="24"/>
        </w:rPr>
        <w:t>Jāņem vērā, ka v</w:t>
      </w:r>
      <w:r w:rsidRPr="00403B3F">
        <w:rPr>
          <w:rFonts w:ascii="Times New Roman" w:hAnsi="Times New Roman" w:cs="Times New Roman"/>
          <w:i/>
          <w:sz w:val="24"/>
          <w:szCs w:val="24"/>
        </w:rPr>
        <w:t>alsts atbalsta projektu gadījumā publiskā finansējuma apjoms projektā nevar tikt palielināts</w:t>
      </w:r>
      <w:r w:rsidR="00403B3F">
        <w:rPr>
          <w:rFonts w:ascii="Times New Roman" w:hAnsi="Times New Roman" w:cs="Times New Roman"/>
          <w:i/>
          <w:sz w:val="24"/>
          <w:szCs w:val="24"/>
        </w:rPr>
        <w:t>.</w:t>
      </w:r>
    </w:p>
    <w:p w14:paraId="6B0078F3" w14:textId="28E8EAE7" w:rsidR="002B3526" w:rsidRDefault="00DC101E" w:rsidP="00D1668B">
      <w:pPr>
        <w:pStyle w:val="ListParagraph"/>
        <w:ind w:left="567"/>
        <w:jc w:val="both"/>
        <w:rPr>
          <w:rFonts w:ascii="Times New Roman" w:hAnsi="Times New Roman" w:cs="Times New Roman"/>
          <w:sz w:val="24"/>
          <w:szCs w:val="24"/>
        </w:rPr>
      </w:pPr>
      <w:r>
        <w:rPr>
          <w:rFonts w:ascii="Times New Roman" w:hAnsi="Times New Roman" w:cs="Times New Roman"/>
          <w:color w:val="000000" w:themeColor="text1"/>
          <w:sz w:val="24"/>
          <w:szCs w:val="24"/>
        </w:rPr>
        <w:t>3) A</w:t>
      </w:r>
      <w:r w:rsidRPr="00935C0E">
        <w:rPr>
          <w:rFonts w:ascii="Times New Roman" w:hAnsi="Times New Roman" w:cs="Times New Roman"/>
          <w:color w:val="000000" w:themeColor="text1"/>
          <w:sz w:val="24"/>
          <w:szCs w:val="24"/>
        </w:rPr>
        <w:t>tsevišķos izņēmuma gadījumos</w:t>
      </w:r>
      <w:r>
        <w:rPr>
          <w:rFonts w:ascii="Times New Roman" w:hAnsi="Times New Roman" w:cs="Times New Roman"/>
          <w:color w:val="000000" w:themeColor="text1"/>
          <w:sz w:val="24"/>
          <w:szCs w:val="24"/>
        </w:rPr>
        <w:t>,</w:t>
      </w:r>
      <w:r w:rsidR="00761385" w:rsidRPr="00FF6909" w:rsidDel="00761385">
        <w:rPr>
          <w:rFonts w:ascii="Times New Roman" w:hAnsi="Times New Roman" w:cs="Times New Roman"/>
          <w:sz w:val="24"/>
          <w:szCs w:val="24"/>
        </w:rPr>
        <w:t xml:space="preserve"> </w:t>
      </w:r>
      <w:r w:rsidR="00194B8F" w:rsidRPr="00935C0E">
        <w:rPr>
          <w:rFonts w:ascii="Times New Roman" w:hAnsi="Times New Roman" w:cs="Times New Roman"/>
          <w:color w:val="000000" w:themeColor="text1"/>
          <w:sz w:val="24"/>
          <w:szCs w:val="24"/>
        </w:rPr>
        <w:t>kad pa</w:t>
      </w:r>
      <w:r w:rsidR="00FF6909">
        <w:rPr>
          <w:rFonts w:ascii="Times New Roman" w:hAnsi="Times New Roman" w:cs="Times New Roman"/>
          <w:color w:val="000000" w:themeColor="text1"/>
          <w:sz w:val="24"/>
          <w:szCs w:val="24"/>
        </w:rPr>
        <w:t>r snieguma rezerves paredzēšanu</w:t>
      </w:r>
      <w:r w:rsidR="00194B8F" w:rsidRPr="00935C0E">
        <w:rPr>
          <w:rFonts w:ascii="Times New Roman" w:hAnsi="Times New Roman" w:cs="Times New Roman"/>
          <w:color w:val="000000" w:themeColor="text1"/>
          <w:sz w:val="24"/>
          <w:szCs w:val="24"/>
        </w:rPr>
        <w:t xml:space="preserve"> konkrētai projektu iesniegumu atlases kārtai vai konkrētiem projektiem </w:t>
      </w:r>
      <w:r w:rsidR="00CF4E3D">
        <w:rPr>
          <w:rFonts w:ascii="Times New Roman" w:hAnsi="Times New Roman" w:cs="Times New Roman"/>
          <w:color w:val="000000" w:themeColor="text1"/>
          <w:sz w:val="24"/>
          <w:szCs w:val="24"/>
        </w:rPr>
        <w:t>nav iespējams</w:t>
      </w:r>
      <w:r w:rsidR="00194B8F" w:rsidRPr="00935C0E">
        <w:rPr>
          <w:rFonts w:ascii="Times New Roman" w:hAnsi="Times New Roman" w:cs="Times New Roman"/>
          <w:color w:val="000000" w:themeColor="text1"/>
          <w:sz w:val="24"/>
          <w:szCs w:val="24"/>
        </w:rPr>
        <w:t xml:space="preserve"> vienoties (piemēram, pašva</w:t>
      </w:r>
      <w:r w:rsidR="00962A4E" w:rsidRPr="00935C0E">
        <w:rPr>
          <w:rFonts w:ascii="Times New Roman" w:hAnsi="Times New Roman" w:cs="Times New Roman"/>
          <w:color w:val="000000" w:themeColor="text1"/>
          <w:sz w:val="24"/>
          <w:szCs w:val="24"/>
        </w:rPr>
        <w:t>ldību gadījumā 3.3.1.SAM un 5.6.2.</w:t>
      </w:r>
      <w:r w:rsidR="00194B8F" w:rsidRPr="00935C0E">
        <w:rPr>
          <w:rFonts w:ascii="Times New Roman" w:hAnsi="Times New Roman" w:cs="Times New Roman"/>
          <w:color w:val="000000" w:themeColor="text1"/>
          <w:sz w:val="24"/>
          <w:szCs w:val="24"/>
        </w:rPr>
        <w:t>SAM</w:t>
      </w:r>
      <w:r>
        <w:rPr>
          <w:rFonts w:ascii="Times New Roman" w:hAnsi="Times New Roman" w:cs="Times New Roman"/>
          <w:color w:val="000000" w:themeColor="text1"/>
          <w:sz w:val="24"/>
          <w:szCs w:val="24"/>
        </w:rPr>
        <w:t xml:space="preserve">), ir </w:t>
      </w:r>
      <w:r w:rsidRPr="00935C0E">
        <w:rPr>
          <w:rFonts w:ascii="Times New Roman" w:hAnsi="Times New Roman" w:cs="Times New Roman"/>
          <w:color w:val="000000" w:themeColor="text1"/>
          <w:sz w:val="24"/>
          <w:szCs w:val="24"/>
        </w:rPr>
        <w:t xml:space="preserve">pieļaujams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w:t>
      </w:r>
      <w:r w:rsidRPr="00935C0E">
        <w:rPr>
          <w:rFonts w:ascii="Times New Roman" w:hAnsi="Times New Roman" w:cs="Times New Roman"/>
          <w:color w:val="000000" w:themeColor="text1"/>
          <w:sz w:val="24"/>
          <w:szCs w:val="24"/>
        </w:rPr>
        <w:t>riekšfinansēšanas</w:t>
      </w:r>
      <w:proofErr w:type="spellEnd"/>
      <w:r w:rsidRPr="00935C0E">
        <w:rPr>
          <w:rFonts w:ascii="Times New Roman" w:hAnsi="Times New Roman" w:cs="Times New Roman"/>
          <w:color w:val="000000" w:themeColor="text1"/>
          <w:sz w:val="24"/>
          <w:szCs w:val="24"/>
        </w:rPr>
        <w:t>” modelis</w:t>
      </w:r>
      <w:r>
        <w:rPr>
          <w:rFonts w:ascii="Times New Roman" w:hAnsi="Times New Roman" w:cs="Times New Roman"/>
          <w:color w:val="000000" w:themeColor="text1"/>
          <w:sz w:val="24"/>
          <w:szCs w:val="24"/>
        </w:rPr>
        <w:t xml:space="preserve">. </w:t>
      </w:r>
      <w:r w:rsidR="00F9178C">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Priekšfinansēšanas</w:t>
      </w:r>
      <w:proofErr w:type="spellEnd"/>
      <w:r w:rsidR="00F9178C">
        <w:rPr>
          <w:rFonts w:ascii="Times New Roman" w:hAnsi="Times New Roman" w:cs="Times New Roman"/>
          <w:color w:val="000000" w:themeColor="text1"/>
          <w:sz w:val="24"/>
          <w:szCs w:val="24"/>
        </w:rPr>
        <w:t>” modelis</w:t>
      </w:r>
      <w:r>
        <w:rPr>
          <w:rFonts w:ascii="Times New Roman" w:hAnsi="Times New Roman" w:cs="Times New Roman"/>
          <w:color w:val="000000" w:themeColor="text1"/>
          <w:sz w:val="24"/>
          <w:szCs w:val="24"/>
        </w:rPr>
        <w:t xml:space="preserve"> pretēji iepriekš</w:t>
      </w:r>
      <w:r w:rsidR="00F9178C">
        <w:rPr>
          <w:rFonts w:ascii="Times New Roman" w:hAnsi="Times New Roman" w:cs="Times New Roman"/>
          <w:color w:val="000000" w:themeColor="text1"/>
          <w:sz w:val="24"/>
          <w:szCs w:val="24"/>
        </w:rPr>
        <w:t xml:space="preserve"> minētajiem</w:t>
      </w:r>
      <w:r>
        <w:rPr>
          <w:rFonts w:ascii="Times New Roman" w:hAnsi="Times New Roman" w:cs="Times New Roman"/>
          <w:color w:val="000000" w:themeColor="text1"/>
          <w:sz w:val="24"/>
          <w:szCs w:val="24"/>
        </w:rPr>
        <w:t xml:space="preserve"> variantiem pieļauj, ka finansējuma saņēmējs projektā var uzņemties papildu saistības,</w:t>
      </w:r>
      <w:r w:rsidR="00194B8F" w:rsidRPr="00935C0E">
        <w:rPr>
          <w:rFonts w:ascii="Times New Roman" w:hAnsi="Times New Roman" w:cs="Times New Roman"/>
          <w:color w:val="000000" w:themeColor="text1"/>
          <w:sz w:val="24"/>
          <w:szCs w:val="24"/>
        </w:rPr>
        <w:t xml:space="preserve"> paredz</w:t>
      </w:r>
      <w:r>
        <w:rPr>
          <w:rFonts w:ascii="Times New Roman" w:hAnsi="Times New Roman" w:cs="Times New Roman"/>
          <w:color w:val="000000" w:themeColor="text1"/>
          <w:sz w:val="24"/>
          <w:szCs w:val="24"/>
        </w:rPr>
        <w:t>o</w:t>
      </w:r>
      <w:r w:rsidR="00194B8F" w:rsidRPr="00935C0E">
        <w:rPr>
          <w:rFonts w:ascii="Times New Roman" w:hAnsi="Times New Roman" w:cs="Times New Roman"/>
          <w:color w:val="000000" w:themeColor="text1"/>
          <w:sz w:val="24"/>
          <w:szCs w:val="24"/>
        </w:rPr>
        <w:t>t snieguma rezervei nepieciešamo finansējuma apmēru no saviem</w:t>
      </w:r>
      <w:r w:rsidR="00A01CEE">
        <w:rPr>
          <w:rFonts w:ascii="Times New Roman" w:hAnsi="Times New Roman" w:cs="Times New Roman"/>
          <w:color w:val="000000" w:themeColor="text1"/>
          <w:sz w:val="24"/>
          <w:szCs w:val="24"/>
        </w:rPr>
        <w:t xml:space="preserve"> vai sadarbības partnera</w:t>
      </w:r>
      <w:r w:rsidR="00194B8F" w:rsidRPr="00935C0E">
        <w:rPr>
          <w:rFonts w:ascii="Times New Roman" w:hAnsi="Times New Roman" w:cs="Times New Roman"/>
          <w:color w:val="000000" w:themeColor="text1"/>
          <w:sz w:val="24"/>
          <w:szCs w:val="24"/>
        </w:rPr>
        <w:t xml:space="preserve"> līdzekļiem</w:t>
      </w:r>
      <w:r w:rsidR="00194B8F" w:rsidRPr="00935C0E">
        <w:rPr>
          <w:rFonts w:ascii="Times New Roman" w:hAnsi="Times New Roman" w:cs="Times New Roman"/>
          <w:sz w:val="24"/>
          <w:szCs w:val="24"/>
        </w:rPr>
        <w:t xml:space="preserve">, attiecīgi palielinot </w:t>
      </w:r>
      <w:r w:rsidR="002B76AE">
        <w:rPr>
          <w:rFonts w:ascii="Times New Roman" w:hAnsi="Times New Roman" w:cs="Times New Roman"/>
          <w:sz w:val="24"/>
          <w:szCs w:val="24"/>
        </w:rPr>
        <w:t xml:space="preserve">savu </w:t>
      </w:r>
      <w:r w:rsidR="00194B8F" w:rsidRPr="00935C0E">
        <w:rPr>
          <w:rFonts w:ascii="Times New Roman" w:hAnsi="Times New Roman" w:cs="Times New Roman"/>
          <w:sz w:val="24"/>
          <w:szCs w:val="24"/>
        </w:rPr>
        <w:t>līdzfinansējuma likmi</w:t>
      </w:r>
      <w:r w:rsidR="00A36E2B">
        <w:rPr>
          <w:rFonts w:ascii="Times New Roman" w:hAnsi="Times New Roman" w:cs="Times New Roman"/>
          <w:sz w:val="24"/>
          <w:szCs w:val="24"/>
        </w:rPr>
        <w:t>, vienlaikus plānojot iznākuma rādītājus atbilstoši projektā plānotajām ES fondu finansējuma apmēram, tai skaitā, snieguma rezervei nepieciešamajam finansējuma apmēram</w:t>
      </w:r>
      <w:r w:rsidR="00194B8F" w:rsidRPr="00935C0E">
        <w:rPr>
          <w:rFonts w:ascii="Times New Roman" w:hAnsi="Times New Roman" w:cs="Times New Roman"/>
          <w:sz w:val="24"/>
          <w:szCs w:val="24"/>
        </w:rPr>
        <w:t>.</w:t>
      </w:r>
      <w:r w:rsidR="00A01CEE">
        <w:rPr>
          <w:rFonts w:ascii="Times New Roman" w:hAnsi="Times New Roman" w:cs="Times New Roman"/>
          <w:sz w:val="24"/>
          <w:szCs w:val="24"/>
        </w:rPr>
        <w:t xml:space="preserve"> </w:t>
      </w:r>
    </w:p>
    <w:p w14:paraId="3EA3E228" w14:textId="58474969" w:rsidR="00962A4E" w:rsidRPr="00403B3F" w:rsidRDefault="00403B3F" w:rsidP="00CF4E3D">
      <w:pPr>
        <w:spacing w:before="240"/>
        <w:jc w:val="both"/>
        <w:rPr>
          <w:rFonts w:ascii="Times New Roman" w:hAnsi="Times New Roman" w:cs="Times New Roman"/>
          <w:i/>
          <w:sz w:val="24"/>
          <w:szCs w:val="24"/>
        </w:rPr>
      </w:pPr>
      <w:r w:rsidRPr="00403B3F">
        <w:rPr>
          <w:rFonts w:ascii="Times New Roman" w:hAnsi="Times New Roman" w:cs="Times New Roman"/>
          <w:b/>
          <w:bCs/>
          <w:i/>
          <w:color w:val="FF0000"/>
          <w:sz w:val="24"/>
          <w:szCs w:val="24"/>
        </w:rPr>
        <w:t>NB!</w:t>
      </w:r>
      <w:r w:rsidRPr="00403B3F">
        <w:rPr>
          <w:rFonts w:ascii="Times New Roman" w:hAnsi="Times New Roman" w:cs="Times New Roman"/>
          <w:bCs/>
          <w:i/>
          <w:color w:val="FF0000"/>
          <w:sz w:val="24"/>
          <w:szCs w:val="24"/>
        </w:rPr>
        <w:t xml:space="preserve"> </w:t>
      </w:r>
      <w:r w:rsidR="00FF6909" w:rsidRPr="00FF6909">
        <w:rPr>
          <w:rFonts w:ascii="Times New Roman" w:hAnsi="Times New Roman" w:cs="Times New Roman"/>
          <w:bCs/>
          <w:i/>
          <w:sz w:val="24"/>
          <w:szCs w:val="24"/>
        </w:rPr>
        <w:t xml:space="preserve">Visos gadījumos jāņem vērā, ka </w:t>
      </w:r>
      <w:r w:rsidR="00DC101E">
        <w:rPr>
          <w:rFonts w:ascii="Times New Roman" w:hAnsi="Times New Roman" w:cs="Times New Roman"/>
          <w:bCs/>
          <w:i/>
          <w:sz w:val="24"/>
          <w:szCs w:val="24"/>
        </w:rPr>
        <w:t xml:space="preserve">līdz 2018.gada 31.decembrim </w:t>
      </w:r>
      <w:r w:rsidR="00962A4E" w:rsidRPr="00403B3F">
        <w:rPr>
          <w:rFonts w:ascii="Times New Roman" w:hAnsi="Times New Roman" w:cs="Times New Roman"/>
          <w:bCs/>
          <w:i/>
          <w:sz w:val="24"/>
          <w:szCs w:val="24"/>
        </w:rPr>
        <w:t>snieguma rezerve</w:t>
      </w:r>
      <w:r w:rsidR="00DC101E">
        <w:rPr>
          <w:rFonts w:ascii="Times New Roman" w:hAnsi="Times New Roman" w:cs="Times New Roman"/>
          <w:bCs/>
          <w:i/>
          <w:sz w:val="24"/>
          <w:szCs w:val="24"/>
        </w:rPr>
        <w:t>s</w:t>
      </w:r>
      <w:r w:rsidR="00962A4E" w:rsidRPr="00403B3F">
        <w:rPr>
          <w:rFonts w:ascii="Times New Roman" w:hAnsi="Times New Roman" w:cs="Times New Roman"/>
          <w:bCs/>
          <w:i/>
          <w:sz w:val="24"/>
          <w:szCs w:val="24"/>
        </w:rPr>
        <w:t xml:space="preserve"> </w:t>
      </w:r>
      <w:r w:rsidR="00DC101E">
        <w:rPr>
          <w:rFonts w:ascii="Times New Roman" w:hAnsi="Times New Roman" w:cs="Times New Roman"/>
          <w:bCs/>
          <w:i/>
          <w:sz w:val="24"/>
          <w:szCs w:val="24"/>
        </w:rPr>
        <w:t>finansējums faktiski neeksistē</w:t>
      </w:r>
      <w:r w:rsidR="00FF6909">
        <w:rPr>
          <w:rFonts w:ascii="Times New Roman" w:hAnsi="Times New Roman" w:cs="Times New Roman"/>
          <w:bCs/>
          <w:i/>
          <w:sz w:val="24"/>
          <w:szCs w:val="24"/>
        </w:rPr>
        <w:t>,</w:t>
      </w:r>
      <w:r w:rsidR="00962A4E" w:rsidRPr="00403B3F">
        <w:rPr>
          <w:rFonts w:ascii="Times New Roman" w:hAnsi="Times New Roman" w:cs="Times New Roman"/>
          <w:bCs/>
          <w:i/>
          <w:sz w:val="24"/>
          <w:szCs w:val="24"/>
        </w:rPr>
        <w:t xml:space="preserve"> un </w:t>
      </w:r>
      <w:r w:rsidR="00FF6909">
        <w:rPr>
          <w:rFonts w:ascii="Times New Roman" w:hAnsi="Times New Roman" w:cs="Times New Roman"/>
          <w:bCs/>
          <w:i/>
          <w:sz w:val="24"/>
          <w:szCs w:val="24"/>
        </w:rPr>
        <w:t>ja</w:t>
      </w:r>
      <w:r w:rsidR="00FF6909" w:rsidRPr="00403B3F">
        <w:rPr>
          <w:rFonts w:ascii="Times New Roman" w:hAnsi="Times New Roman" w:cs="Times New Roman"/>
          <w:bCs/>
          <w:i/>
          <w:sz w:val="24"/>
          <w:szCs w:val="24"/>
        </w:rPr>
        <w:t xml:space="preserve"> tiek pieļauts finansējuma saņēmējam projektā plānot savu finansējumu snieguma rezerves segšanai, </w:t>
      </w:r>
      <w:r w:rsidR="00962A4E" w:rsidRPr="00403B3F">
        <w:rPr>
          <w:rFonts w:ascii="Times New Roman" w:hAnsi="Times New Roman" w:cs="Times New Roman"/>
          <w:bCs/>
          <w:i/>
          <w:sz w:val="24"/>
          <w:szCs w:val="24"/>
        </w:rPr>
        <w:t xml:space="preserve">snieguma ietvara neizpildes gadījumā </w:t>
      </w:r>
      <w:proofErr w:type="spellStart"/>
      <w:r w:rsidR="00962A4E" w:rsidRPr="00403B3F">
        <w:rPr>
          <w:rFonts w:ascii="Times New Roman" w:hAnsi="Times New Roman" w:cs="Times New Roman"/>
          <w:bCs/>
          <w:i/>
          <w:sz w:val="24"/>
          <w:szCs w:val="24"/>
        </w:rPr>
        <w:t>priekšfinansēto</w:t>
      </w:r>
      <w:proofErr w:type="spellEnd"/>
      <w:r w:rsidR="00962A4E" w:rsidRPr="00403B3F">
        <w:rPr>
          <w:rFonts w:ascii="Times New Roman" w:hAnsi="Times New Roman" w:cs="Times New Roman"/>
          <w:bCs/>
          <w:i/>
          <w:sz w:val="24"/>
          <w:szCs w:val="24"/>
        </w:rPr>
        <w:t xml:space="preserve"> rezerves summu sedz finansējuma saņēmējs</w:t>
      </w:r>
      <w:r w:rsidR="00276F82">
        <w:rPr>
          <w:rFonts w:ascii="Times New Roman" w:hAnsi="Times New Roman" w:cs="Times New Roman"/>
          <w:bCs/>
          <w:i/>
          <w:sz w:val="24"/>
          <w:szCs w:val="24"/>
        </w:rPr>
        <w:t xml:space="preserve"> vai tā sadarbības partneris, ja tas nodrošina </w:t>
      </w:r>
      <w:proofErr w:type="spellStart"/>
      <w:r w:rsidR="00276F82">
        <w:rPr>
          <w:rFonts w:ascii="Times New Roman" w:hAnsi="Times New Roman" w:cs="Times New Roman"/>
          <w:bCs/>
          <w:i/>
          <w:sz w:val="24"/>
          <w:szCs w:val="24"/>
        </w:rPr>
        <w:t>priekšfinansējumu</w:t>
      </w:r>
      <w:proofErr w:type="spellEnd"/>
      <w:r w:rsidR="00276F82">
        <w:rPr>
          <w:rFonts w:ascii="Times New Roman" w:hAnsi="Times New Roman" w:cs="Times New Roman"/>
          <w:bCs/>
          <w:i/>
          <w:sz w:val="24"/>
          <w:szCs w:val="24"/>
        </w:rPr>
        <w:t>.</w:t>
      </w:r>
    </w:p>
    <w:p w14:paraId="3027E004" w14:textId="77777777" w:rsidR="00962A4E" w:rsidRPr="00935C0E" w:rsidRDefault="00962A4E" w:rsidP="00CF4E3D">
      <w:pPr>
        <w:pStyle w:val="ListParagraph"/>
        <w:spacing w:before="240"/>
        <w:ind w:left="0"/>
        <w:jc w:val="both"/>
        <w:rPr>
          <w:rFonts w:ascii="Times New Roman" w:hAnsi="Times New Roman" w:cs="Times New Roman"/>
          <w:sz w:val="24"/>
          <w:szCs w:val="24"/>
        </w:rPr>
      </w:pPr>
    </w:p>
    <w:p w14:paraId="04C9B7DF" w14:textId="2BD12513" w:rsidR="00962A4E" w:rsidRPr="00403B3F" w:rsidRDefault="00962A4E" w:rsidP="00CF4E3D">
      <w:pPr>
        <w:pStyle w:val="ListParagraph"/>
        <w:ind w:left="0"/>
        <w:jc w:val="center"/>
        <w:rPr>
          <w:rFonts w:ascii="Times New Roman" w:hAnsi="Times New Roman" w:cs="Times New Roman"/>
          <w:b/>
          <w:sz w:val="24"/>
          <w:szCs w:val="24"/>
        </w:rPr>
      </w:pPr>
      <w:r w:rsidRPr="00403B3F">
        <w:rPr>
          <w:rFonts w:ascii="Times New Roman" w:hAnsi="Times New Roman" w:cs="Times New Roman"/>
          <w:b/>
          <w:sz w:val="24"/>
          <w:szCs w:val="24"/>
        </w:rPr>
        <w:t>I</w:t>
      </w:r>
      <w:r w:rsidR="004D7BCF">
        <w:rPr>
          <w:rFonts w:ascii="Times New Roman" w:hAnsi="Times New Roman" w:cs="Times New Roman"/>
          <w:b/>
          <w:sz w:val="24"/>
          <w:szCs w:val="24"/>
        </w:rPr>
        <w:t>II Rīcība snieguma rezerves</w:t>
      </w:r>
      <w:r w:rsidR="00403B3F">
        <w:rPr>
          <w:rFonts w:ascii="Times New Roman" w:hAnsi="Times New Roman" w:cs="Times New Roman"/>
          <w:b/>
          <w:sz w:val="24"/>
          <w:szCs w:val="24"/>
        </w:rPr>
        <w:t xml:space="preserve"> </w:t>
      </w:r>
      <w:r w:rsidRPr="00403B3F">
        <w:rPr>
          <w:rFonts w:ascii="Times New Roman" w:hAnsi="Times New Roman" w:cs="Times New Roman"/>
          <w:b/>
          <w:sz w:val="24"/>
          <w:szCs w:val="24"/>
        </w:rPr>
        <w:t>“</w:t>
      </w:r>
      <w:proofErr w:type="spellStart"/>
      <w:r w:rsidRPr="00403B3F">
        <w:rPr>
          <w:rFonts w:ascii="Times New Roman" w:hAnsi="Times New Roman" w:cs="Times New Roman"/>
          <w:b/>
          <w:sz w:val="24"/>
          <w:szCs w:val="24"/>
        </w:rPr>
        <w:t>priekšfinansēšanas</w:t>
      </w:r>
      <w:proofErr w:type="spellEnd"/>
      <w:r w:rsidRPr="00403B3F">
        <w:rPr>
          <w:rFonts w:ascii="Times New Roman" w:hAnsi="Times New Roman" w:cs="Times New Roman"/>
          <w:b/>
          <w:sz w:val="24"/>
          <w:szCs w:val="24"/>
        </w:rPr>
        <w:t xml:space="preserve">” </w:t>
      </w:r>
      <w:r w:rsidR="00D576B6">
        <w:rPr>
          <w:rFonts w:ascii="Times New Roman" w:hAnsi="Times New Roman" w:cs="Times New Roman"/>
          <w:b/>
          <w:sz w:val="24"/>
          <w:szCs w:val="24"/>
        </w:rPr>
        <w:t xml:space="preserve">modeļa </w:t>
      </w:r>
      <w:r w:rsidRPr="00403B3F">
        <w:rPr>
          <w:rFonts w:ascii="Times New Roman" w:hAnsi="Times New Roman" w:cs="Times New Roman"/>
          <w:b/>
          <w:sz w:val="24"/>
          <w:szCs w:val="24"/>
        </w:rPr>
        <w:t>gadījumā</w:t>
      </w:r>
    </w:p>
    <w:p w14:paraId="499FA540" w14:textId="77777777" w:rsidR="00962A4E" w:rsidRPr="00935C0E" w:rsidRDefault="00962A4E" w:rsidP="00CF4E3D">
      <w:pPr>
        <w:pStyle w:val="ListParagraph"/>
        <w:ind w:left="0"/>
        <w:jc w:val="center"/>
        <w:rPr>
          <w:rFonts w:ascii="Times New Roman" w:hAnsi="Times New Roman" w:cs="Times New Roman"/>
          <w:sz w:val="24"/>
          <w:szCs w:val="24"/>
        </w:rPr>
      </w:pPr>
    </w:p>
    <w:p w14:paraId="0C936DC8" w14:textId="0A886DB2" w:rsidR="00194B8F" w:rsidRPr="00F0760D" w:rsidRDefault="00194B8F" w:rsidP="00F0760D">
      <w:pPr>
        <w:pStyle w:val="ListParagraph"/>
        <w:numPr>
          <w:ilvl w:val="0"/>
          <w:numId w:val="5"/>
        </w:numPr>
        <w:spacing w:before="240"/>
        <w:ind w:left="567" w:hanging="567"/>
        <w:jc w:val="both"/>
        <w:rPr>
          <w:rFonts w:ascii="Times New Roman" w:hAnsi="Times New Roman" w:cs="Times New Roman"/>
          <w:sz w:val="24"/>
          <w:szCs w:val="24"/>
        </w:rPr>
      </w:pPr>
      <w:r w:rsidRPr="00935C0E">
        <w:rPr>
          <w:rFonts w:ascii="Times New Roman" w:hAnsi="Times New Roman" w:cs="Times New Roman"/>
          <w:sz w:val="24"/>
          <w:szCs w:val="24"/>
        </w:rPr>
        <w:t xml:space="preserve">MK noteikumos par SAM īstenošanu </w:t>
      </w:r>
      <w:r w:rsidR="00F0760D">
        <w:rPr>
          <w:rFonts w:ascii="Times New Roman" w:hAnsi="Times New Roman" w:cs="Times New Roman"/>
          <w:sz w:val="24"/>
          <w:szCs w:val="24"/>
        </w:rPr>
        <w:t xml:space="preserve">atbilstoši FM Vadlīnijām Nr.2.2. ir </w:t>
      </w:r>
      <w:r w:rsidRPr="00935C0E">
        <w:rPr>
          <w:rFonts w:ascii="Times New Roman" w:hAnsi="Times New Roman" w:cs="Times New Roman"/>
          <w:sz w:val="24"/>
          <w:szCs w:val="24"/>
        </w:rPr>
        <w:t>jā</w:t>
      </w:r>
      <w:r w:rsidR="00403B3F">
        <w:rPr>
          <w:rFonts w:ascii="Times New Roman" w:hAnsi="Times New Roman" w:cs="Times New Roman"/>
          <w:sz w:val="24"/>
          <w:szCs w:val="24"/>
        </w:rPr>
        <w:t>paredz</w:t>
      </w:r>
      <w:r w:rsidR="00F0760D">
        <w:rPr>
          <w:rFonts w:ascii="Times New Roman" w:hAnsi="Times New Roman" w:cs="Times New Roman"/>
          <w:sz w:val="24"/>
          <w:szCs w:val="24"/>
        </w:rPr>
        <w:t>, kāds ir pieejam</w:t>
      </w:r>
      <w:r w:rsidR="004D7BCF">
        <w:rPr>
          <w:rFonts w:ascii="Times New Roman" w:hAnsi="Times New Roman" w:cs="Times New Roman"/>
          <w:sz w:val="24"/>
          <w:szCs w:val="24"/>
        </w:rPr>
        <w:t>ais ES fondu</w:t>
      </w:r>
      <w:r w:rsidR="00F0760D">
        <w:rPr>
          <w:rFonts w:ascii="Times New Roman" w:hAnsi="Times New Roman" w:cs="Times New Roman"/>
          <w:sz w:val="24"/>
          <w:szCs w:val="24"/>
        </w:rPr>
        <w:t xml:space="preserve"> finansējuma apmērs, par ko iespējams uzņemties saistības līdz 2018.gada 31.decembrim</w:t>
      </w:r>
      <w:r w:rsidR="00403B3F" w:rsidRPr="00F0760D">
        <w:rPr>
          <w:rFonts w:ascii="Times New Roman" w:hAnsi="Times New Roman" w:cs="Times New Roman"/>
          <w:sz w:val="24"/>
          <w:szCs w:val="24"/>
        </w:rPr>
        <w:t>,</w:t>
      </w:r>
      <w:r w:rsidR="00F0760D">
        <w:rPr>
          <w:rFonts w:ascii="Times New Roman" w:hAnsi="Times New Roman" w:cs="Times New Roman"/>
          <w:sz w:val="24"/>
          <w:szCs w:val="24"/>
        </w:rPr>
        <w:t xml:space="preserve"> kā arī</w:t>
      </w:r>
      <w:r w:rsidR="00403B3F" w:rsidRPr="00F0760D">
        <w:rPr>
          <w:rFonts w:ascii="Times New Roman" w:hAnsi="Times New Roman" w:cs="Times New Roman"/>
          <w:sz w:val="24"/>
          <w:szCs w:val="24"/>
        </w:rPr>
        <w:t xml:space="preserve"> ka no 2019.gada 1.</w:t>
      </w:r>
      <w:r w:rsidRPr="00F0760D">
        <w:rPr>
          <w:rFonts w:ascii="Times New Roman" w:hAnsi="Times New Roman" w:cs="Times New Roman"/>
          <w:sz w:val="24"/>
          <w:szCs w:val="24"/>
        </w:rPr>
        <w:t xml:space="preserve">janvāra atbildīgā iestāde pēc Eiropas Komisijas lēmuma par snieguma ietvara izpildi </w:t>
      </w:r>
      <w:r w:rsidR="006862B6">
        <w:rPr>
          <w:rFonts w:ascii="Times New Roman" w:hAnsi="Times New Roman" w:cs="Times New Roman"/>
          <w:sz w:val="24"/>
          <w:szCs w:val="24"/>
        </w:rPr>
        <w:t>informē sadarbības iestādi par ierosinājumu veikt projektā grozījumus, palielinot ES fondu līdzfinansējuma likmi, kas attiecīgi par to informē projekta iesniedzēju.</w:t>
      </w:r>
      <w:r w:rsidRPr="00935C0E">
        <w:rPr>
          <w:rStyle w:val="FootnoteReference"/>
          <w:rFonts w:ascii="Times New Roman" w:hAnsi="Times New Roman" w:cs="Times New Roman"/>
          <w:sz w:val="24"/>
          <w:szCs w:val="24"/>
        </w:rPr>
        <w:footnoteReference w:id="5"/>
      </w:r>
      <w:r w:rsidRPr="00F0760D">
        <w:rPr>
          <w:rFonts w:ascii="Times New Roman" w:hAnsi="Times New Roman" w:cs="Times New Roman"/>
          <w:sz w:val="24"/>
          <w:szCs w:val="24"/>
        </w:rPr>
        <w:t>.</w:t>
      </w:r>
    </w:p>
    <w:p w14:paraId="0EE749DB" w14:textId="2EE50DF9" w:rsidR="00403B3F" w:rsidRDefault="00AD0464" w:rsidP="0082112C">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sz w:val="24"/>
          <w:szCs w:val="24"/>
        </w:rPr>
        <w:t>Pēc</w:t>
      </w:r>
      <w:r w:rsidR="00194B8F" w:rsidRPr="00935C0E">
        <w:rPr>
          <w:rFonts w:ascii="Times New Roman" w:hAnsi="Times New Roman" w:cs="Times New Roman"/>
          <w:sz w:val="24"/>
          <w:szCs w:val="24"/>
        </w:rPr>
        <w:t xml:space="preserve"> Eiropas Komisijas lēmuma par snieguma ietvara lēmuma izpildi</w:t>
      </w:r>
      <w:r w:rsidR="00276F82">
        <w:rPr>
          <w:rFonts w:ascii="Times New Roman" w:hAnsi="Times New Roman" w:cs="Times New Roman"/>
          <w:sz w:val="24"/>
          <w:szCs w:val="24"/>
        </w:rPr>
        <w:t xml:space="preserve"> un atbildīgās iestādes ierosinājuma</w:t>
      </w:r>
      <w:r w:rsidR="00D81345">
        <w:rPr>
          <w:rFonts w:ascii="Times New Roman" w:hAnsi="Times New Roman" w:cs="Times New Roman"/>
          <w:sz w:val="24"/>
          <w:szCs w:val="24"/>
        </w:rPr>
        <w:t xml:space="preserve"> </w:t>
      </w:r>
      <w:r w:rsidR="005E51BC">
        <w:rPr>
          <w:rFonts w:ascii="Times New Roman" w:hAnsi="Times New Roman" w:cs="Times New Roman"/>
          <w:sz w:val="24"/>
          <w:szCs w:val="24"/>
        </w:rPr>
        <w:t>palielināt ES fondu līdzfinansējuma likmi</w:t>
      </w:r>
      <w:r w:rsidR="00194B8F" w:rsidRPr="00935C0E">
        <w:rPr>
          <w:rFonts w:ascii="Times New Roman" w:hAnsi="Times New Roman" w:cs="Times New Roman"/>
          <w:sz w:val="24"/>
          <w:szCs w:val="24"/>
        </w:rPr>
        <w:t xml:space="preserve">, ja būs pieejama snieguma rezerve, </w:t>
      </w:r>
      <w:r w:rsidR="00276F82">
        <w:rPr>
          <w:rFonts w:ascii="Times New Roman" w:hAnsi="Times New Roman" w:cs="Times New Roman"/>
          <w:sz w:val="24"/>
          <w:szCs w:val="24"/>
        </w:rPr>
        <w:t>finansējuma saņēmējs veic grozījumus projekta iesniegumā</w:t>
      </w:r>
      <w:r w:rsidRPr="00935C0E">
        <w:rPr>
          <w:rFonts w:ascii="Times New Roman" w:hAnsi="Times New Roman" w:cs="Times New Roman"/>
          <w:sz w:val="24"/>
          <w:szCs w:val="24"/>
        </w:rPr>
        <w:t>, paredzot papildu ES fondu finansējumu</w:t>
      </w:r>
      <w:r w:rsidR="00276F82">
        <w:rPr>
          <w:rFonts w:ascii="Times New Roman" w:hAnsi="Times New Roman" w:cs="Times New Roman"/>
          <w:sz w:val="24"/>
          <w:szCs w:val="24"/>
        </w:rPr>
        <w:t xml:space="preserve"> </w:t>
      </w:r>
      <w:r w:rsidRPr="00935C0E">
        <w:rPr>
          <w:rFonts w:ascii="Times New Roman" w:hAnsi="Times New Roman" w:cs="Times New Roman"/>
          <w:sz w:val="24"/>
          <w:szCs w:val="24"/>
        </w:rPr>
        <w:t xml:space="preserve">vai, valsts atbalsta projektu gadījumā, </w:t>
      </w:r>
      <w:r w:rsidR="00942E7E">
        <w:rPr>
          <w:rFonts w:ascii="Times New Roman" w:hAnsi="Times New Roman" w:cs="Times New Roman"/>
          <w:sz w:val="24"/>
          <w:szCs w:val="24"/>
        </w:rPr>
        <w:t>pārplānojot</w:t>
      </w:r>
      <w:r w:rsidRPr="00935C0E">
        <w:rPr>
          <w:rFonts w:ascii="Times New Roman" w:hAnsi="Times New Roman" w:cs="Times New Roman"/>
          <w:sz w:val="24"/>
          <w:szCs w:val="24"/>
        </w:rPr>
        <w:t xml:space="preserve"> vienu publiskā finansējuma avotu</w:t>
      </w:r>
      <w:r w:rsidR="00194B8F" w:rsidRPr="00935C0E">
        <w:rPr>
          <w:rFonts w:ascii="Times New Roman" w:hAnsi="Times New Roman" w:cs="Times New Roman"/>
          <w:sz w:val="24"/>
          <w:szCs w:val="24"/>
        </w:rPr>
        <w:t xml:space="preserve"> (</w:t>
      </w:r>
      <w:r w:rsidR="00A125CA">
        <w:rPr>
          <w:rFonts w:ascii="Times New Roman" w:hAnsi="Times New Roman" w:cs="Times New Roman"/>
          <w:sz w:val="24"/>
          <w:szCs w:val="24"/>
        </w:rPr>
        <w:t xml:space="preserve">piem., </w:t>
      </w:r>
      <w:r w:rsidR="00194B8F" w:rsidRPr="00935C0E">
        <w:rPr>
          <w:rFonts w:ascii="Times New Roman" w:hAnsi="Times New Roman" w:cs="Times New Roman"/>
          <w:sz w:val="24"/>
          <w:szCs w:val="24"/>
        </w:rPr>
        <w:t xml:space="preserve">pašvaldības </w:t>
      </w:r>
      <w:r w:rsidRPr="00935C0E">
        <w:rPr>
          <w:rFonts w:ascii="Times New Roman" w:hAnsi="Times New Roman" w:cs="Times New Roman"/>
          <w:sz w:val="24"/>
          <w:szCs w:val="24"/>
        </w:rPr>
        <w:t>finansējums</w:t>
      </w:r>
      <w:r w:rsidR="00194B8F" w:rsidRPr="00935C0E">
        <w:rPr>
          <w:rFonts w:ascii="Times New Roman" w:hAnsi="Times New Roman" w:cs="Times New Roman"/>
          <w:sz w:val="24"/>
          <w:szCs w:val="24"/>
        </w:rPr>
        <w:t xml:space="preserve">) </w:t>
      </w:r>
      <w:r w:rsidR="00942E7E">
        <w:rPr>
          <w:rFonts w:ascii="Times New Roman" w:hAnsi="Times New Roman" w:cs="Times New Roman"/>
          <w:sz w:val="24"/>
          <w:szCs w:val="24"/>
        </w:rPr>
        <w:t>uz</w:t>
      </w:r>
      <w:r w:rsidR="00194B8F" w:rsidRPr="00935C0E">
        <w:rPr>
          <w:rFonts w:ascii="Times New Roman" w:hAnsi="Times New Roman" w:cs="Times New Roman"/>
          <w:sz w:val="24"/>
          <w:szCs w:val="24"/>
        </w:rPr>
        <w:t>ES fondu finansējum</w:t>
      </w:r>
      <w:r w:rsidR="00942E7E">
        <w:rPr>
          <w:rFonts w:ascii="Times New Roman" w:hAnsi="Times New Roman" w:cs="Times New Roman"/>
          <w:sz w:val="24"/>
          <w:szCs w:val="24"/>
        </w:rPr>
        <w:t>u</w:t>
      </w:r>
      <w:r w:rsidR="00276F82">
        <w:rPr>
          <w:rFonts w:ascii="Times New Roman" w:hAnsi="Times New Roman" w:cs="Times New Roman"/>
          <w:sz w:val="24"/>
          <w:szCs w:val="24"/>
        </w:rPr>
        <w:t xml:space="preserve"> un iesniedz precizēto projekta iesniegumu un līguma</w:t>
      </w:r>
      <w:r w:rsidR="005E51BC">
        <w:rPr>
          <w:rFonts w:ascii="Times New Roman" w:hAnsi="Times New Roman" w:cs="Times New Roman"/>
          <w:sz w:val="24"/>
          <w:szCs w:val="24"/>
        </w:rPr>
        <w:t>/vienošanās</w:t>
      </w:r>
      <w:r w:rsidR="00276F82">
        <w:rPr>
          <w:rFonts w:ascii="Times New Roman" w:hAnsi="Times New Roman" w:cs="Times New Roman"/>
          <w:sz w:val="24"/>
          <w:szCs w:val="24"/>
        </w:rPr>
        <w:t xml:space="preserve"> gr</w:t>
      </w:r>
      <w:bookmarkStart w:id="0" w:name="_GoBack"/>
      <w:bookmarkEnd w:id="0"/>
      <w:r w:rsidR="00276F82">
        <w:rPr>
          <w:rFonts w:ascii="Times New Roman" w:hAnsi="Times New Roman" w:cs="Times New Roman"/>
          <w:sz w:val="24"/>
          <w:szCs w:val="24"/>
        </w:rPr>
        <w:t>ozījumu pieprasījumu sadarbības iestādē.</w:t>
      </w:r>
    </w:p>
    <w:p w14:paraId="5A0912E0" w14:textId="34C9CFE2" w:rsidR="00194B8F" w:rsidRPr="00403B3F" w:rsidRDefault="00403B3F" w:rsidP="00FF6909">
      <w:pPr>
        <w:jc w:val="both"/>
        <w:rPr>
          <w:rFonts w:ascii="Times New Roman" w:hAnsi="Times New Roman" w:cs="Times New Roman"/>
          <w:i/>
          <w:sz w:val="24"/>
          <w:szCs w:val="24"/>
        </w:rPr>
      </w:pPr>
      <w:r w:rsidRPr="00403B3F">
        <w:rPr>
          <w:rFonts w:ascii="Times New Roman" w:hAnsi="Times New Roman" w:cs="Times New Roman"/>
          <w:b/>
          <w:bCs/>
          <w:i/>
          <w:color w:val="FF0000"/>
          <w:sz w:val="24"/>
          <w:szCs w:val="24"/>
        </w:rPr>
        <w:t>NB!</w:t>
      </w:r>
      <w:r w:rsidRPr="00403B3F">
        <w:rPr>
          <w:rFonts w:ascii="Times New Roman" w:hAnsi="Times New Roman" w:cs="Times New Roman"/>
          <w:bCs/>
          <w:i/>
          <w:color w:val="FF0000"/>
          <w:sz w:val="24"/>
          <w:szCs w:val="24"/>
        </w:rPr>
        <w:t xml:space="preserve"> </w:t>
      </w:r>
      <w:r w:rsidR="00AD0464" w:rsidRPr="00403B3F">
        <w:rPr>
          <w:rFonts w:ascii="Times New Roman" w:hAnsi="Times New Roman" w:cs="Times New Roman"/>
          <w:i/>
          <w:sz w:val="24"/>
          <w:szCs w:val="24"/>
        </w:rPr>
        <w:t>Obligāti</w:t>
      </w:r>
      <w:r w:rsidR="00194B8F" w:rsidRPr="00403B3F">
        <w:rPr>
          <w:rFonts w:ascii="Times New Roman" w:hAnsi="Times New Roman" w:cs="Times New Roman"/>
          <w:i/>
          <w:sz w:val="24"/>
          <w:szCs w:val="24"/>
        </w:rPr>
        <w:t xml:space="preserve"> jāievēro</w:t>
      </w:r>
      <w:r w:rsidR="00D61201">
        <w:rPr>
          <w:rFonts w:ascii="Times New Roman" w:hAnsi="Times New Roman" w:cs="Times New Roman"/>
          <w:i/>
          <w:sz w:val="24"/>
          <w:szCs w:val="24"/>
        </w:rPr>
        <w:t xml:space="preserve"> </w:t>
      </w:r>
      <w:r w:rsidR="00194B8F" w:rsidRPr="00403B3F">
        <w:rPr>
          <w:rFonts w:ascii="Times New Roman" w:hAnsi="Times New Roman" w:cs="Times New Roman"/>
          <w:i/>
          <w:sz w:val="24"/>
          <w:szCs w:val="24"/>
        </w:rPr>
        <w:t xml:space="preserve"> valsts atbalsta kontroles normas</w:t>
      </w:r>
      <w:r w:rsidR="00D61201">
        <w:rPr>
          <w:rFonts w:ascii="Times New Roman" w:hAnsi="Times New Roman" w:cs="Times New Roman"/>
          <w:i/>
          <w:sz w:val="24"/>
          <w:szCs w:val="24"/>
        </w:rPr>
        <w:t>:</w:t>
      </w:r>
      <w:r w:rsidR="00194B8F" w:rsidRPr="00403B3F">
        <w:rPr>
          <w:rFonts w:ascii="Times New Roman" w:hAnsi="Times New Roman" w:cs="Times New Roman"/>
          <w:i/>
          <w:sz w:val="24"/>
          <w:szCs w:val="24"/>
        </w:rPr>
        <w:t xml:space="preserve"> </w:t>
      </w:r>
      <w:r w:rsidR="00D61201">
        <w:rPr>
          <w:rFonts w:ascii="Times New Roman" w:hAnsi="Times New Roman" w:cs="Times New Roman"/>
          <w:i/>
          <w:sz w:val="24"/>
          <w:szCs w:val="24"/>
        </w:rPr>
        <w:t xml:space="preserve">valsts atbalsta projektos finansējuma saņēmējs var plānot </w:t>
      </w:r>
      <w:r w:rsidR="00D61201">
        <w:rPr>
          <w:rFonts w:ascii="Times New Roman" w:hAnsi="Times New Roman" w:cs="Times New Roman"/>
          <w:bCs/>
          <w:i/>
          <w:sz w:val="24"/>
          <w:szCs w:val="24"/>
        </w:rPr>
        <w:t xml:space="preserve">papildu publisko </w:t>
      </w:r>
      <w:r w:rsidR="00D61201" w:rsidRPr="00403B3F">
        <w:rPr>
          <w:rFonts w:ascii="Times New Roman" w:hAnsi="Times New Roman" w:cs="Times New Roman"/>
          <w:bCs/>
          <w:i/>
          <w:sz w:val="24"/>
          <w:szCs w:val="24"/>
        </w:rPr>
        <w:t>finansējumu snieguma rezerves segšanai</w:t>
      </w:r>
      <w:r w:rsidR="00D61201">
        <w:rPr>
          <w:rFonts w:ascii="Times New Roman" w:hAnsi="Times New Roman" w:cs="Times New Roman"/>
          <w:bCs/>
          <w:i/>
          <w:sz w:val="24"/>
          <w:szCs w:val="24"/>
        </w:rPr>
        <w:t xml:space="preserve"> (nepārsniedzot projekta īstenošanai nepieciešamo maksimāli pieļaujamā publiskā finansējuma apmēru).</w:t>
      </w:r>
      <w:r w:rsidR="00194B8F" w:rsidRPr="00403B3F">
        <w:rPr>
          <w:rFonts w:ascii="Times New Roman" w:hAnsi="Times New Roman" w:cs="Times New Roman"/>
          <w:i/>
          <w:sz w:val="24"/>
          <w:szCs w:val="24"/>
        </w:rPr>
        <w:t xml:space="preserve">  </w:t>
      </w:r>
    </w:p>
    <w:p w14:paraId="2925FDAF" w14:textId="32C2239E" w:rsidR="00FB2CE4" w:rsidRDefault="00194B8F" w:rsidP="0082112C">
      <w:pPr>
        <w:pStyle w:val="ListParagraph"/>
        <w:numPr>
          <w:ilvl w:val="0"/>
          <w:numId w:val="5"/>
        </w:numPr>
        <w:ind w:left="567" w:hanging="567"/>
        <w:jc w:val="both"/>
        <w:rPr>
          <w:rFonts w:ascii="Times New Roman" w:hAnsi="Times New Roman" w:cs="Times New Roman"/>
          <w:sz w:val="24"/>
          <w:szCs w:val="24"/>
        </w:rPr>
      </w:pPr>
      <w:r w:rsidRPr="00935C0E">
        <w:rPr>
          <w:rFonts w:ascii="Times New Roman" w:hAnsi="Times New Roman" w:cs="Times New Roman"/>
          <w:sz w:val="24"/>
          <w:szCs w:val="24"/>
        </w:rPr>
        <w:lastRenderedPageBreak/>
        <w:t xml:space="preserve">Lai projekta iesniedzējs varētu praktiski atgūt </w:t>
      </w:r>
      <w:r w:rsidR="00403B3F">
        <w:rPr>
          <w:rFonts w:ascii="Times New Roman" w:hAnsi="Times New Roman" w:cs="Times New Roman"/>
          <w:sz w:val="24"/>
          <w:szCs w:val="24"/>
        </w:rPr>
        <w:t>snieguma rezerves segšanai ieguldīto finansējumu</w:t>
      </w:r>
      <w:r w:rsidRPr="00935C0E">
        <w:rPr>
          <w:rFonts w:ascii="Times New Roman" w:hAnsi="Times New Roman" w:cs="Times New Roman"/>
          <w:sz w:val="24"/>
          <w:szCs w:val="24"/>
        </w:rPr>
        <w:t>, C</w:t>
      </w:r>
      <w:r w:rsidR="00B84E2D">
        <w:rPr>
          <w:rFonts w:ascii="Times New Roman" w:hAnsi="Times New Roman" w:cs="Times New Roman"/>
          <w:sz w:val="24"/>
          <w:szCs w:val="24"/>
        </w:rPr>
        <w:t>entrālā finanšu un līgumu aģentūra</w:t>
      </w:r>
      <w:r w:rsidRPr="00935C0E">
        <w:rPr>
          <w:rFonts w:ascii="Times New Roman" w:hAnsi="Times New Roman" w:cs="Times New Roman"/>
          <w:sz w:val="24"/>
          <w:szCs w:val="24"/>
        </w:rPr>
        <w:t>/pilsētas</w:t>
      </w:r>
      <w:r w:rsidR="00403B3F">
        <w:rPr>
          <w:rFonts w:ascii="Times New Roman" w:hAnsi="Times New Roman" w:cs="Times New Roman"/>
          <w:sz w:val="24"/>
          <w:szCs w:val="24"/>
        </w:rPr>
        <w:t>,</w:t>
      </w:r>
      <w:r w:rsidRPr="00935C0E">
        <w:rPr>
          <w:rFonts w:ascii="Times New Roman" w:hAnsi="Times New Roman" w:cs="Times New Roman"/>
          <w:sz w:val="24"/>
          <w:szCs w:val="24"/>
        </w:rPr>
        <w:t xml:space="preserve"> izstrādājot konkrēto SAM atlases nolikumus, </w:t>
      </w:r>
      <w:r w:rsidR="00B84E2D">
        <w:rPr>
          <w:rFonts w:ascii="Times New Roman" w:hAnsi="Times New Roman" w:cs="Times New Roman"/>
          <w:sz w:val="24"/>
          <w:szCs w:val="24"/>
        </w:rPr>
        <w:t xml:space="preserve">tai skaitā </w:t>
      </w:r>
      <w:r w:rsidRPr="00935C0E">
        <w:rPr>
          <w:rFonts w:ascii="Times New Roman" w:hAnsi="Times New Roman" w:cs="Times New Roman"/>
          <w:sz w:val="24"/>
          <w:szCs w:val="24"/>
        </w:rPr>
        <w:t>izs</w:t>
      </w:r>
      <w:r w:rsidR="00B84E2D">
        <w:rPr>
          <w:rFonts w:ascii="Times New Roman" w:hAnsi="Times New Roman" w:cs="Times New Roman"/>
          <w:sz w:val="24"/>
          <w:szCs w:val="24"/>
        </w:rPr>
        <w:t>trādā standarta līgumu/vienošano</w:t>
      </w:r>
      <w:r w:rsidRPr="00935C0E">
        <w:rPr>
          <w:rFonts w:ascii="Times New Roman" w:hAnsi="Times New Roman" w:cs="Times New Roman"/>
          <w:sz w:val="24"/>
          <w:szCs w:val="24"/>
        </w:rPr>
        <w:t xml:space="preserve">s, kur atrunā visus projekta ieviešanas nosacījumus, attiecīgi gadījumā, kad finansējuma saņēmējs </w:t>
      </w:r>
      <w:r w:rsidR="00403B3F">
        <w:rPr>
          <w:rFonts w:ascii="Times New Roman" w:hAnsi="Times New Roman" w:cs="Times New Roman"/>
          <w:sz w:val="24"/>
          <w:szCs w:val="24"/>
        </w:rPr>
        <w:t>plāno</w:t>
      </w:r>
      <w:r w:rsidRPr="00935C0E">
        <w:rPr>
          <w:rFonts w:ascii="Times New Roman" w:hAnsi="Times New Roman" w:cs="Times New Roman"/>
          <w:sz w:val="24"/>
          <w:szCs w:val="24"/>
        </w:rPr>
        <w:t xml:space="preserve"> snieguma rezervi </w:t>
      </w:r>
      <w:proofErr w:type="spellStart"/>
      <w:r w:rsidRPr="00935C0E">
        <w:rPr>
          <w:rFonts w:ascii="Times New Roman" w:hAnsi="Times New Roman" w:cs="Times New Roman"/>
          <w:sz w:val="24"/>
          <w:szCs w:val="24"/>
        </w:rPr>
        <w:t>priekšfinansēt</w:t>
      </w:r>
      <w:proofErr w:type="spellEnd"/>
      <w:r w:rsidRPr="00935C0E">
        <w:rPr>
          <w:rFonts w:ascii="Times New Roman" w:hAnsi="Times New Roman" w:cs="Times New Roman"/>
          <w:sz w:val="24"/>
          <w:szCs w:val="24"/>
        </w:rPr>
        <w:t xml:space="preserve"> no pašu līdzekļiem, standarta līgumu/vienošanās </w:t>
      </w:r>
      <w:r w:rsidR="00D361A4">
        <w:rPr>
          <w:rFonts w:ascii="Times New Roman" w:hAnsi="Times New Roman" w:cs="Times New Roman"/>
          <w:sz w:val="24"/>
          <w:szCs w:val="24"/>
        </w:rPr>
        <w:t xml:space="preserve">tiek norādīti visi projekta finansēšanas avoti, </w:t>
      </w:r>
      <w:r w:rsidR="00354CF9">
        <w:rPr>
          <w:rFonts w:ascii="Times New Roman" w:hAnsi="Times New Roman" w:cs="Times New Roman"/>
          <w:sz w:val="24"/>
          <w:szCs w:val="24"/>
        </w:rPr>
        <w:t>tai skaitā</w:t>
      </w:r>
      <w:r w:rsidR="00D361A4">
        <w:rPr>
          <w:rFonts w:ascii="Times New Roman" w:hAnsi="Times New Roman" w:cs="Times New Roman"/>
          <w:sz w:val="24"/>
          <w:szCs w:val="24"/>
        </w:rPr>
        <w:t xml:space="preserve"> </w:t>
      </w:r>
      <w:proofErr w:type="spellStart"/>
      <w:r w:rsidR="00D361A4">
        <w:rPr>
          <w:rFonts w:ascii="Times New Roman" w:hAnsi="Times New Roman" w:cs="Times New Roman"/>
          <w:sz w:val="24"/>
          <w:szCs w:val="24"/>
        </w:rPr>
        <w:t>priekšfinansējums</w:t>
      </w:r>
      <w:proofErr w:type="spellEnd"/>
      <w:r w:rsidR="00D361A4">
        <w:rPr>
          <w:rFonts w:ascii="Times New Roman" w:hAnsi="Times New Roman" w:cs="Times New Roman"/>
          <w:sz w:val="24"/>
          <w:szCs w:val="24"/>
        </w:rPr>
        <w:t xml:space="preserve">, kā arī ietverts nosacījums, ka projekts nedrīkst būt faktiski pabeigts līdz brīdim, kad pieņemts </w:t>
      </w:r>
      <w:r w:rsidR="00585453">
        <w:rPr>
          <w:rFonts w:ascii="Times New Roman" w:hAnsi="Times New Roman" w:cs="Times New Roman"/>
          <w:sz w:val="24"/>
          <w:szCs w:val="24"/>
        </w:rPr>
        <w:t xml:space="preserve">EK un AI </w:t>
      </w:r>
      <w:r w:rsidR="00D361A4">
        <w:rPr>
          <w:rFonts w:ascii="Times New Roman" w:hAnsi="Times New Roman" w:cs="Times New Roman"/>
          <w:sz w:val="24"/>
          <w:szCs w:val="24"/>
        </w:rPr>
        <w:t>lēmums par ES fondu finansējuma palielinājumu</w:t>
      </w:r>
      <w:r w:rsidR="00585453">
        <w:rPr>
          <w:rFonts w:ascii="Times New Roman" w:hAnsi="Times New Roman" w:cs="Times New Roman"/>
          <w:sz w:val="24"/>
          <w:szCs w:val="24"/>
        </w:rPr>
        <w:t xml:space="preserve"> un iesniegti līguma</w:t>
      </w:r>
      <w:r w:rsidR="005E51BC">
        <w:rPr>
          <w:rFonts w:ascii="Times New Roman" w:hAnsi="Times New Roman" w:cs="Times New Roman"/>
          <w:sz w:val="24"/>
          <w:szCs w:val="24"/>
        </w:rPr>
        <w:t>/vienošanās</w:t>
      </w:r>
      <w:r w:rsidR="00585453">
        <w:rPr>
          <w:rFonts w:ascii="Times New Roman" w:hAnsi="Times New Roman" w:cs="Times New Roman"/>
          <w:sz w:val="24"/>
          <w:szCs w:val="24"/>
        </w:rPr>
        <w:t xml:space="preserve"> grozījumi sadarbības iestādei</w:t>
      </w:r>
      <w:r w:rsidR="00D361A4">
        <w:rPr>
          <w:rFonts w:ascii="Times New Roman" w:hAnsi="Times New Roman" w:cs="Times New Roman"/>
          <w:sz w:val="24"/>
          <w:szCs w:val="24"/>
        </w:rPr>
        <w:t>.</w:t>
      </w:r>
      <w:r w:rsidR="00CB3E11">
        <w:rPr>
          <w:rFonts w:ascii="Times New Roman" w:hAnsi="Times New Roman" w:cs="Times New Roman"/>
          <w:sz w:val="24"/>
          <w:szCs w:val="24"/>
        </w:rPr>
        <w:t>(līguma</w:t>
      </w:r>
      <w:r w:rsidR="005E51BC">
        <w:rPr>
          <w:rFonts w:ascii="Times New Roman" w:hAnsi="Times New Roman" w:cs="Times New Roman"/>
          <w:sz w:val="24"/>
          <w:szCs w:val="24"/>
        </w:rPr>
        <w:t>/vienošanās</w:t>
      </w:r>
      <w:r w:rsidR="00CB3E11">
        <w:rPr>
          <w:rFonts w:ascii="Times New Roman" w:hAnsi="Times New Roman" w:cs="Times New Roman"/>
          <w:sz w:val="24"/>
          <w:szCs w:val="24"/>
        </w:rPr>
        <w:t xml:space="preserve"> nosacījumus skatīt zemāk)</w:t>
      </w:r>
      <w:r w:rsidR="00D361A4">
        <w:rPr>
          <w:rFonts w:ascii="Times New Roman" w:hAnsi="Times New Roman" w:cs="Times New Roman"/>
          <w:sz w:val="24"/>
          <w:szCs w:val="24"/>
        </w:rPr>
        <w:t xml:space="preserve"> </w:t>
      </w:r>
    </w:p>
    <w:p w14:paraId="3181E20A" w14:textId="2455C7CD" w:rsidR="00403B3F" w:rsidRPr="005E51BC" w:rsidRDefault="00403B3F" w:rsidP="005E51BC">
      <w:pPr>
        <w:pStyle w:val="ListParagraph"/>
        <w:numPr>
          <w:ilvl w:val="0"/>
          <w:numId w:val="5"/>
        </w:numPr>
        <w:spacing w:before="240"/>
        <w:ind w:left="567" w:hanging="567"/>
        <w:jc w:val="both"/>
        <w:rPr>
          <w:rFonts w:ascii="Times New Roman" w:hAnsi="Times New Roman" w:cs="Times New Roman"/>
          <w:sz w:val="24"/>
          <w:szCs w:val="24"/>
        </w:rPr>
      </w:pPr>
      <w:r w:rsidRPr="00935C0E">
        <w:rPr>
          <w:rFonts w:ascii="Times New Roman" w:hAnsi="Times New Roman" w:cs="Times New Roman"/>
          <w:bCs/>
          <w:sz w:val="24"/>
          <w:szCs w:val="24"/>
        </w:rPr>
        <w:t>Līgums/vienošanās par projekta īstenošanu paredzēs kā</w:t>
      </w:r>
      <w:r w:rsidR="00B84E2D">
        <w:rPr>
          <w:rFonts w:ascii="Times New Roman" w:hAnsi="Times New Roman" w:cs="Times New Roman"/>
          <w:bCs/>
          <w:sz w:val="24"/>
          <w:szCs w:val="24"/>
        </w:rPr>
        <w:t>rtību līguma</w:t>
      </w:r>
      <w:r w:rsidR="005E51BC">
        <w:rPr>
          <w:rFonts w:ascii="Times New Roman" w:hAnsi="Times New Roman" w:cs="Times New Roman"/>
          <w:bCs/>
          <w:sz w:val="24"/>
          <w:szCs w:val="24"/>
        </w:rPr>
        <w:t>/vienošanās</w:t>
      </w:r>
      <w:r w:rsidR="00B84E2D" w:rsidRPr="005E51BC">
        <w:rPr>
          <w:rFonts w:ascii="Times New Roman" w:hAnsi="Times New Roman" w:cs="Times New Roman"/>
          <w:bCs/>
          <w:sz w:val="24"/>
          <w:szCs w:val="24"/>
        </w:rPr>
        <w:t xml:space="preserve"> grozījumiem pēc </w:t>
      </w:r>
      <w:r w:rsidR="005E51BC">
        <w:rPr>
          <w:rFonts w:ascii="Times New Roman" w:hAnsi="Times New Roman" w:cs="Times New Roman"/>
          <w:bCs/>
          <w:sz w:val="24"/>
          <w:szCs w:val="24"/>
        </w:rPr>
        <w:t xml:space="preserve">Eiropas Komisijas lēmuma par snieguma rezerves ietvara izpildi un </w:t>
      </w:r>
      <w:r w:rsidR="00B84E2D" w:rsidRPr="005E51BC">
        <w:rPr>
          <w:rFonts w:ascii="Times New Roman" w:hAnsi="Times New Roman" w:cs="Times New Roman"/>
          <w:bCs/>
          <w:sz w:val="24"/>
          <w:szCs w:val="24"/>
        </w:rPr>
        <w:t xml:space="preserve">attiecīgā atbildīgās iestādes </w:t>
      </w:r>
      <w:r w:rsidR="005E51BC">
        <w:rPr>
          <w:rFonts w:ascii="Times New Roman" w:hAnsi="Times New Roman" w:cs="Times New Roman"/>
          <w:bCs/>
          <w:sz w:val="24"/>
          <w:szCs w:val="24"/>
        </w:rPr>
        <w:t>ierosinājuma palielināt ES fondu līdzfinansējuma likmi</w:t>
      </w:r>
      <w:r w:rsidR="00CB3E11" w:rsidRPr="005E51BC">
        <w:rPr>
          <w:rFonts w:ascii="Times New Roman" w:hAnsi="Times New Roman" w:cs="Times New Roman"/>
          <w:bCs/>
          <w:sz w:val="24"/>
          <w:szCs w:val="24"/>
        </w:rPr>
        <w:t>. Minētos līguma grozījumus CFLA skata vispārējā kārtībā.</w:t>
      </w:r>
      <w:r w:rsidR="00B84E2D" w:rsidRPr="005E51BC">
        <w:rPr>
          <w:rFonts w:ascii="Times New Roman" w:hAnsi="Times New Roman" w:cs="Times New Roman"/>
          <w:bCs/>
          <w:sz w:val="24"/>
          <w:szCs w:val="24"/>
        </w:rPr>
        <w:t xml:space="preserve"> </w:t>
      </w:r>
    </w:p>
    <w:p w14:paraId="5EC96DB3" w14:textId="09DEBBBF" w:rsidR="005B7B45" w:rsidRPr="00935C0E" w:rsidRDefault="00AD0464" w:rsidP="0082112C">
      <w:pPr>
        <w:pStyle w:val="ListParagraph"/>
        <w:numPr>
          <w:ilvl w:val="0"/>
          <w:numId w:val="5"/>
        </w:numPr>
        <w:spacing w:before="240"/>
        <w:ind w:left="567" w:hanging="567"/>
        <w:jc w:val="both"/>
        <w:rPr>
          <w:rFonts w:ascii="Times New Roman" w:hAnsi="Times New Roman" w:cs="Times New Roman"/>
          <w:sz w:val="24"/>
          <w:szCs w:val="24"/>
        </w:rPr>
      </w:pPr>
      <w:r w:rsidRPr="00935C0E">
        <w:rPr>
          <w:rFonts w:ascii="Times New Roman" w:hAnsi="Times New Roman" w:cs="Times New Roman"/>
          <w:bCs/>
          <w:sz w:val="24"/>
          <w:szCs w:val="24"/>
        </w:rPr>
        <w:t>P</w:t>
      </w:r>
      <w:r w:rsidR="00194B8F" w:rsidRPr="00935C0E">
        <w:rPr>
          <w:rFonts w:ascii="Times New Roman" w:hAnsi="Times New Roman" w:cs="Times New Roman"/>
          <w:bCs/>
          <w:sz w:val="24"/>
          <w:szCs w:val="24"/>
        </w:rPr>
        <w:t xml:space="preserve">rojekta iesniegums tiek iesniegts par pilnu plānoto projekta summu, </w:t>
      </w:r>
      <w:r w:rsidR="00403B3F">
        <w:rPr>
          <w:rFonts w:ascii="Times New Roman" w:hAnsi="Times New Roman" w:cs="Times New Roman"/>
          <w:bCs/>
          <w:sz w:val="24"/>
          <w:szCs w:val="24"/>
        </w:rPr>
        <w:t xml:space="preserve">valsts atbalsta gadījumā </w:t>
      </w:r>
      <w:r w:rsidR="00194B8F" w:rsidRPr="00935C0E">
        <w:rPr>
          <w:rFonts w:ascii="Times New Roman" w:hAnsi="Times New Roman" w:cs="Times New Roman"/>
          <w:bCs/>
          <w:sz w:val="24"/>
          <w:szCs w:val="24"/>
        </w:rPr>
        <w:t>norādot v</w:t>
      </w:r>
      <w:r w:rsidR="00403B3F">
        <w:rPr>
          <w:rFonts w:ascii="Times New Roman" w:hAnsi="Times New Roman" w:cs="Times New Roman"/>
          <w:bCs/>
          <w:sz w:val="24"/>
          <w:szCs w:val="24"/>
        </w:rPr>
        <w:t>isu publiskā finansējuma apmēru</w:t>
      </w:r>
      <w:r w:rsidR="00194B8F" w:rsidRPr="00935C0E">
        <w:rPr>
          <w:rFonts w:ascii="Times New Roman" w:hAnsi="Times New Roman" w:cs="Times New Roman"/>
          <w:bCs/>
          <w:sz w:val="24"/>
          <w:szCs w:val="24"/>
        </w:rPr>
        <w:t>, ievērojot noteiktās intensitātes u</w:t>
      </w:r>
      <w:r w:rsidR="00B84E2D">
        <w:rPr>
          <w:rFonts w:ascii="Times New Roman" w:hAnsi="Times New Roman" w:cs="Times New Roman"/>
          <w:bCs/>
          <w:sz w:val="24"/>
          <w:szCs w:val="24"/>
        </w:rPr>
        <w:t xml:space="preserve">n valsts atbalsta nosacījumus. </w:t>
      </w:r>
      <w:r w:rsidR="00194B8F" w:rsidRPr="00935C0E">
        <w:rPr>
          <w:rFonts w:ascii="Times New Roman" w:hAnsi="Times New Roman" w:cs="Times New Roman"/>
          <w:bCs/>
          <w:sz w:val="24"/>
          <w:szCs w:val="24"/>
        </w:rPr>
        <w:t xml:space="preserve">Projekta iesniegumā tiek norādīti visi projekta finansēšanas avoti, </w:t>
      </w:r>
      <w:r w:rsidR="00354CF9">
        <w:rPr>
          <w:rFonts w:ascii="Times New Roman" w:hAnsi="Times New Roman" w:cs="Times New Roman"/>
          <w:bCs/>
          <w:sz w:val="24"/>
          <w:szCs w:val="24"/>
        </w:rPr>
        <w:t>tai skaitā</w:t>
      </w:r>
      <w:r w:rsidR="00194B8F" w:rsidRPr="00935C0E">
        <w:rPr>
          <w:rFonts w:ascii="Times New Roman" w:hAnsi="Times New Roman" w:cs="Times New Roman"/>
          <w:bCs/>
          <w:sz w:val="24"/>
          <w:szCs w:val="24"/>
        </w:rPr>
        <w:t xml:space="preserve"> ES fondu finansējums ar par 6,1% (</w:t>
      </w:r>
      <w:r w:rsidR="00872E88">
        <w:rPr>
          <w:rFonts w:ascii="Times New Roman" w:hAnsi="Times New Roman" w:cs="Times New Roman"/>
          <w:bCs/>
          <w:sz w:val="24"/>
          <w:szCs w:val="24"/>
        </w:rPr>
        <w:t>ES fondu</w:t>
      </w:r>
      <w:r w:rsidR="004A58E2">
        <w:rPr>
          <w:rFonts w:ascii="Times New Roman" w:hAnsi="Times New Roman" w:cs="Times New Roman"/>
          <w:bCs/>
          <w:sz w:val="24"/>
          <w:szCs w:val="24"/>
        </w:rPr>
        <w:t xml:space="preserve"> </w:t>
      </w:r>
      <w:r w:rsidR="00194B8F" w:rsidRPr="00935C0E">
        <w:rPr>
          <w:rFonts w:ascii="Times New Roman" w:hAnsi="Times New Roman" w:cs="Times New Roman"/>
          <w:bCs/>
          <w:sz w:val="24"/>
          <w:szCs w:val="24"/>
        </w:rPr>
        <w:t>rezerves apmērs) samazināto likmi un atsevišķi izdalīts</w:t>
      </w:r>
      <w:r w:rsidR="00B97166">
        <w:rPr>
          <w:rFonts w:ascii="Times New Roman" w:hAnsi="Times New Roman" w:cs="Times New Roman"/>
          <w:bCs/>
          <w:sz w:val="24"/>
          <w:szCs w:val="24"/>
        </w:rPr>
        <w:t>, piemēram,</w:t>
      </w:r>
      <w:r w:rsidR="00194B8F" w:rsidRPr="00935C0E">
        <w:rPr>
          <w:rFonts w:ascii="Times New Roman" w:hAnsi="Times New Roman" w:cs="Times New Roman"/>
          <w:bCs/>
          <w:sz w:val="24"/>
          <w:szCs w:val="24"/>
        </w:rPr>
        <w:t xml:space="preserve"> pašvaldīb</w:t>
      </w:r>
      <w:r w:rsidR="00B97166">
        <w:rPr>
          <w:rFonts w:ascii="Times New Roman" w:hAnsi="Times New Roman" w:cs="Times New Roman"/>
          <w:bCs/>
          <w:sz w:val="24"/>
          <w:szCs w:val="24"/>
        </w:rPr>
        <w:t>as</w:t>
      </w:r>
      <w:r w:rsidR="00B84E2D">
        <w:rPr>
          <w:rFonts w:ascii="Times New Roman" w:hAnsi="Times New Roman" w:cs="Times New Roman"/>
          <w:bCs/>
          <w:sz w:val="24"/>
          <w:szCs w:val="24"/>
        </w:rPr>
        <w:t xml:space="preserve"> </w:t>
      </w:r>
      <w:r w:rsidR="00DC2B51">
        <w:rPr>
          <w:rFonts w:ascii="Times New Roman" w:hAnsi="Times New Roman" w:cs="Times New Roman"/>
          <w:bCs/>
          <w:sz w:val="24"/>
          <w:szCs w:val="24"/>
        </w:rPr>
        <w:t>“</w:t>
      </w:r>
      <w:proofErr w:type="spellStart"/>
      <w:r w:rsidR="00B84E2D">
        <w:rPr>
          <w:rFonts w:ascii="Times New Roman" w:hAnsi="Times New Roman" w:cs="Times New Roman"/>
          <w:bCs/>
          <w:sz w:val="24"/>
          <w:szCs w:val="24"/>
        </w:rPr>
        <w:t>priekšfinansējums</w:t>
      </w:r>
      <w:proofErr w:type="spellEnd"/>
      <w:r w:rsidR="00DC2B51">
        <w:rPr>
          <w:rFonts w:ascii="Times New Roman" w:hAnsi="Times New Roman" w:cs="Times New Roman"/>
          <w:bCs/>
          <w:sz w:val="24"/>
          <w:szCs w:val="24"/>
        </w:rPr>
        <w:t>”</w:t>
      </w:r>
      <w:r w:rsidR="00942E7E">
        <w:rPr>
          <w:rFonts w:ascii="Times New Roman" w:hAnsi="Times New Roman" w:cs="Times New Roman"/>
          <w:bCs/>
          <w:sz w:val="24"/>
          <w:szCs w:val="24"/>
        </w:rPr>
        <w:t xml:space="preserve"> kā </w:t>
      </w:r>
      <w:r w:rsidR="00CB3E11">
        <w:rPr>
          <w:rFonts w:ascii="Times New Roman" w:hAnsi="Times New Roman" w:cs="Times New Roman"/>
          <w:bCs/>
          <w:sz w:val="24"/>
          <w:szCs w:val="24"/>
        </w:rPr>
        <w:t>c</w:t>
      </w:r>
      <w:r w:rsidR="00942E7E">
        <w:rPr>
          <w:rFonts w:ascii="Times New Roman" w:hAnsi="Times New Roman" w:cs="Times New Roman"/>
          <w:bCs/>
          <w:sz w:val="24"/>
          <w:szCs w:val="24"/>
        </w:rPr>
        <w:t>its publiskais finansējums</w:t>
      </w:r>
      <w:r w:rsidR="00B84E2D">
        <w:rPr>
          <w:rFonts w:ascii="Times New Roman" w:hAnsi="Times New Roman" w:cs="Times New Roman"/>
          <w:bCs/>
          <w:sz w:val="24"/>
          <w:szCs w:val="24"/>
        </w:rPr>
        <w:t xml:space="preserve"> 6,1% apjomā.</w:t>
      </w:r>
    </w:p>
    <w:p w14:paraId="70826496" w14:textId="77777777" w:rsidR="005B7B45" w:rsidRPr="00403B3F" w:rsidRDefault="00403B3F" w:rsidP="00FF6909">
      <w:pPr>
        <w:jc w:val="both"/>
        <w:rPr>
          <w:rFonts w:ascii="Times New Roman" w:hAnsi="Times New Roman" w:cs="Times New Roman"/>
          <w:bCs/>
          <w:i/>
          <w:sz w:val="24"/>
          <w:szCs w:val="24"/>
        </w:rPr>
      </w:pPr>
      <w:r w:rsidRPr="00403B3F">
        <w:rPr>
          <w:rFonts w:ascii="Times New Roman" w:hAnsi="Times New Roman" w:cs="Times New Roman"/>
          <w:b/>
          <w:bCs/>
          <w:i/>
          <w:color w:val="FF0000"/>
          <w:sz w:val="24"/>
          <w:szCs w:val="24"/>
        </w:rPr>
        <w:t>NB!</w:t>
      </w:r>
      <w:r w:rsidRPr="00403B3F">
        <w:rPr>
          <w:rFonts w:ascii="Times New Roman" w:hAnsi="Times New Roman" w:cs="Times New Roman"/>
          <w:bCs/>
          <w:i/>
          <w:color w:val="FF0000"/>
          <w:sz w:val="24"/>
          <w:szCs w:val="24"/>
        </w:rPr>
        <w:t xml:space="preserve"> </w:t>
      </w:r>
      <w:r w:rsidR="005B7B45" w:rsidRPr="00403B3F">
        <w:rPr>
          <w:rFonts w:ascii="Times New Roman" w:hAnsi="Times New Roman" w:cs="Times New Roman"/>
          <w:bCs/>
          <w:i/>
          <w:sz w:val="24"/>
          <w:szCs w:val="24"/>
        </w:rPr>
        <w:t>Valsts atbalsta projektu gadījumā jāievēro specifiski nosacījumi: sākotnēji paredzētais kopējais publiskā finansējuma</w:t>
      </w:r>
      <w:r w:rsidR="00B84E2D">
        <w:rPr>
          <w:rFonts w:ascii="Times New Roman" w:hAnsi="Times New Roman" w:cs="Times New Roman"/>
          <w:bCs/>
          <w:i/>
          <w:sz w:val="24"/>
          <w:szCs w:val="24"/>
        </w:rPr>
        <w:t xml:space="preserve"> apmērs nevar tikt palielināts, tāpēc </w:t>
      </w:r>
      <w:proofErr w:type="spellStart"/>
      <w:r w:rsidR="005B7B45" w:rsidRPr="00403B3F">
        <w:rPr>
          <w:rFonts w:ascii="Times New Roman" w:hAnsi="Times New Roman" w:cs="Times New Roman"/>
          <w:bCs/>
          <w:i/>
          <w:sz w:val="24"/>
          <w:szCs w:val="24"/>
        </w:rPr>
        <w:t>priekšfinansējums</w:t>
      </w:r>
      <w:proofErr w:type="spellEnd"/>
      <w:r w:rsidR="005B7B45" w:rsidRPr="00403B3F">
        <w:rPr>
          <w:rFonts w:ascii="Times New Roman" w:hAnsi="Times New Roman" w:cs="Times New Roman"/>
          <w:bCs/>
          <w:i/>
          <w:sz w:val="24"/>
          <w:szCs w:val="24"/>
        </w:rPr>
        <w:t xml:space="preserve"> valsts atbalsta projektos var būt tikai publisks finansējums. </w:t>
      </w:r>
    </w:p>
    <w:p w14:paraId="5559B24C" w14:textId="61220FC1" w:rsidR="005B7B45" w:rsidRPr="00403B3F" w:rsidRDefault="00403B3F" w:rsidP="00FF6909">
      <w:pPr>
        <w:jc w:val="both"/>
        <w:rPr>
          <w:rFonts w:ascii="Times New Roman" w:hAnsi="Times New Roman" w:cs="Times New Roman"/>
          <w:bCs/>
          <w:i/>
          <w:sz w:val="24"/>
          <w:szCs w:val="24"/>
        </w:rPr>
      </w:pPr>
      <w:r w:rsidRPr="00403B3F">
        <w:rPr>
          <w:rFonts w:ascii="Times New Roman" w:hAnsi="Times New Roman" w:cs="Times New Roman"/>
          <w:b/>
          <w:bCs/>
          <w:i/>
          <w:color w:val="FF0000"/>
          <w:sz w:val="24"/>
          <w:szCs w:val="24"/>
        </w:rPr>
        <w:t>NB!</w:t>
      </w:r>
      <w:r w:rsidRPr="00403B3F">
        <w:rPr>
          <w:rFonts w:ascii="Times New Roman" w:hAnsi="Times New Roman" w:cs="Times New Roman"/>
          <w:bCs/>
          <w:i/>
          <w:color w:val="FF0000"/>
          <w:sz w:val="24"/>
          <w:szCs w:val="24"/>
        </w:rPr>
        <w:t xml:space="preserve"> </w:t>
      </w:r>
      <w:r w:rsidR="00D81345">
        <w:rPr>
          <w:rFonts w:ascii="Times New Roman" w:hAnsi="Times New Roman" w:cs="Times New Roman"/>
          <w:bCs/>
          <w:i/>
          <w:sz w:val="24"/>
          <w:szCs w:val="24"/>
        </w:rPr>
        <w:t>Valsts atbalsta</w:t>
      </w:r>
      <w:r w:rsidR="008819DD">
        <w:rPr>
          <w:rFonts w:ascii="Times New Roman" w:hAnsi="Times New Roman" w:cs="Times New Roman"/>
          <w:bCs/>
          <w:i/>
          <w:sz w:val="24"/>
          <w:szCs w:val="24"/>
        </w:rPr>
        <w:t xml:space="preserve"> </w:t>
      </w:r>
      <w:r w:rsidR="005E1492">
        <w:rPr>
          <w:rFonts w:ascii="Times New Roman" w:hAnsi="Times New Roman" w:cs="Times New Roman"/>
          <w:bCs/>
          <w:i/>
          <w:sz w:val="24"/>
          <w:szCs w:val="24"/>
        </w:rPr>
        <w:t>gadījum</w:t>
      </w:r>
      <w:r w:rsidR="001825C2">
        <w:rPr>
          <w:rFonts w:ascii="Times New Roman" w:hAnsi="Times New Roman" w:cs="Times New Roman"/>
          <w:bCs/>
          <w:i/>
          <w:sz w:val="24"/>
          <w:szCs w:val="24"/>
        </w:rPr>
        <w:t>os</w:t>
      </w:r>
      <w:r w:rsidR="005E1492">
        <w:rPr>
          <w:rFonts w:ascii="Times New Roman" w:hAnsi="Times New Roman" w:cs="Times New Roman"/>
          <w:bCs/>
          <w:i/>
          <w:sz w:val="24"/>
          <w:szCs w:val="24"/>
        </w:rPr>
        <w:t xml:space="preserve"> r</w:t>
      </w:r>
      <w:r w:rsidR="00DC2B51">
        <w:rPr>
          <w:rFonts w:ascii="Times New Roman" w:hAnsi="Times New Roman" w:cs="Times New Roman"/>
          <w:bCs/>
          <w:i/>
          <w:sz w:val="24"/>
          <w:szCs w:val="24"/>
        </w:rPr>
        <w:t>ūpīgi jāvērtē</w:t>
      </w:r>
      <w:r w:rsidR="00DC2B51" w:rsidRPr="00DC2B51">
        <w:rPr>
          <w:rFonts w:ascii="Times New Roman" w:hAnsi="Times New Roman" w:cs="Times New Roman"/>
          <w:bCs/>
          <w:i/>
          <w:sz w:val="24"/>
          <w:szCs w:val="24"/>
        </w:rPr>
        <w:t xml:space="preserve">, lai </w:t>
      </w:r>
      <w:r w:rsidR="005E1492">
        <w:rPr>
          <w:rFonts w:ascii="Times New Roman" w:hAnsi="Times New Roman" w:cs="Times New Roman"/>
          <w:bCs/>
          <w:i/>
          <w:sz w:val="24"/>
          <w:szCs w:val="24"/>
        </w:rPr>
        <w:t>kopējais publiskā finansējuma apmērs netiktu palielināts</w:t>
      </w:r>
      <w:r w:rsidR="00171C77" w:rsidRPr="00D1668B">
        <w:rPr>
          <w:rFonts w:ascii="Times New Roman" w:hAnsi="Times New Roman" w:cs="Times New Roman"/>
          <w:bCs/>
          <w:i/>
          <w:sz w:val="24"/>
          <w:szCs w:val="24"/>
        </w:rPr>
        <w:t xml:space="preserve">. </w:t>
      </w:r>
      <w:r w:rsidR="00DC2B51">
        <w:rPr>
          <w:rFonts w:ascii="Times New Roman" w:hAnsi="Times New Roman" w:cs="Times New Roman"/>
          <w:bCs/>
          <w:i/>
          <w:sz w:val="24"/>
          <w:szCs w:val="24"/>
        </w:rPr>
        <w:t>Piemēram, g</w:t>
      </w:r>
      <w:r w:rsidR="005B7B45" w:rsidRPr="00403B3F">
        <w:rPr>
          <w:rFonts w:ascii="Times New Roman" w:hAnsi="Times New Roman" w:cs="Times New Roman"/>
          <w:bCs/>
          <w:i/>
          <w:sz w:val="24"/>
          <w:szCs w:val="24"/>
        </w:rPr>
        <w:t xml:space="preserve">adījumā, ja finansējuma saņēmējs ir pašvaldības kapitālsabiedrība, </w:t>
      </w:r>
      <w:proofErr w:type="spellStart"/>
      <w:r w:rsidR="005E1492">
        <w:rPr>
          <w:rFonts w:ascii="Times New Roman" w:hAnsi="Times New Roman" w:cs="Times New Roman"/>
          <w:bCs/>
          <w:i/>
          <w:sz w:val="24"/>
          <w:szCs w:val="24"/>
        </w:rPr>
        <w:t>priekšfinansējums</w:t>
      </w:r>
      <w:proofErr w:type="spellEnd"/>
      <w:r w:rsidR="005E1492">
        <w:rPr>
          <w:rFonts w:ascii="Times New Roman" w:hAnsi="Times New Roman" w:cs="Times New Roman"/>
          <w:bCs/>
          <w:i/>
          <w:sz w:val="24"/>
          <w:szCs w:val="24"/>
        </w:rPr>
        <w:t xml:space="preserve"> nevar būt</w:t>
      </w:r>
      <w:r w:rsidR="005B7B45" w:rsidRPr="00403B3F">
        <w:rPr>
          <w:rFonts w:ascii="Times New Roman" w:hAnsi="Times New Roman" w:cs="Times New Roman"/>
          <w:bCs/>
          <w:i/>
          <w:sz w:val="24"/>
          <w:szCs w:val="24"/>
        </w:rPr>
        <w:t xml:space="preserve"> pašvaldības ieguldījums kapitālsabiedrības pamatkapitālā, </w:t>
      </w:r>
      <w:r w:rsidR="005E1492">
        <w:rPr>
          <w:rFonts w:ascii="Times New Roman" w:hAnsi="Times New Roman" w:cs="Times New Roman"/>
          <w:bCs/>
          <w:i/>
          <w:sz w:val="24"/>
          <w:szCs w:val="24"/>
        </w:rPr>
        <w:t xml:space="preserve">jo tādējādi rezerves saņemšanas gadījumā palielinātos kopējais publiskā finansējuma apmērs, </w:t>
      </w:r>
      <w:r w:rsidR="005B7B45" w:rsidRPr="00403B3F">
        <w:rPr>
          <w:rFonts w:ascii="Times New Roman" w:hAnsi="Times New Roman" w:cs="Times New Roman"/>
          <w:bCs/>
          <w:i/>
          <w:sz w:val="24"/>
          <w:szCs w:val="24"/>
        </w:rPr>
        <w:t xml:space="preserve">bet, tas var būt, piemēram, aizņēmums Valsts kasē. </w:t>
      </w:r>
      <w:r w:rsidR="00DC2B51">
        <w:rPr>
          <w:rFonts w:ascii="Times New Roman" w:hAnsi="Times New Roman" w:cs="Times New Roman"/>
          <w:bCs/>
          <w:i/>
          <w:sz w:val="24"/>
          <w:szCs w:val="24"/>
        </w:rPr>
        <w:t>Vienlaikus projekta iesniedzējam</w:t>
      </w:r>
      <w:r w:rsidR="00171C77" w:rsidRPr="00171C77">
        <w:rPr>
          <w:rFonts w:ascii="Times New Roman" w:hAnsi="Times New Roman" w:cs="Times New Roman"/>
          <w:bCs/>
          <w:i/>
          <w:sz w:val="24"/>
          <w:szCs w:val="24"/>
        </w:rPr>
        <w:t xml:space="preserve"> līdz civiltiesiskā līguma par projekta īstenošanu un </w:t>
      </w:r>
      <w:r w:rsidR="00D934A0">
        <w:rPr>
          <w:rFonts w:ascii="Times New Roman" w:hAnsi="Times New Roman" w:cs="Times New Roman"/>
          <w:bCs/>
          <w:i/>
          <w:sz w:val="24"/>
          <w:szCs w:val="24"/>
        </w:rPr>
        <w:t xml:space="preserve">ES </w:t>
      </w:r>
      <w:r w:rsidR="00171C77" w:rsidRPr="00171C77">
        <w:rPr>
          <w:rFonts w:ascii="Times New Roman" w:hAnsi="Times New Roman" w:cs="Times New Roman"/>
          <w:bCs/>
          <w:i/>
          <w:sz w:val="24"/>
          <w:szCs w:val="24"/>
        </w:rPr>
        <w:t>fondu līdzfinansējuma piešķiršanu noslēgšanai</w:t>
      </w:r>
      <w:r w:rsidR="005B7B45" w:rsidRPr="00403B3F">
        <w:rPr>
          <w:rFonts w:ascii="Times New Roman" w:hAnsi="Times New Roman" w:cs="Times New Roman"/>
          <w:bCs/>
          <w:i/>
          <w:sz w:val="24"/>
          <w:szCs w:val="24"/>
        </w:rPr>
        <w:t xml:space="preserve"> </w:t>
      </w:r>
      <w:r w:rsidR="00DC2B51" w:rsidRPr="00171C77">
        <w:rPr>
          <w:rFonts w:ascii="Times New Roman" w:hAnsi="Times New Roman" w:cs="Times New Roman"/>
          <w:bCs/>
          <w:i/>
          <w:sz w:val="24"/>
          <w:szCs w:val="24"/>
        </w:rPr>
        <w:t>sadarbības iestādē</w:t>
      </w:r>
      <w:r w:rsidR="00DC2B51" w:rsidRPr="00DC2B51">
        <w:rPr>
          <w:rFonts w:ascii="Times New Roman" w:hAnsi="Times New Roman" w:cs="Times New Roman"/>
          <w:bCs/>
          <w:i/>
          <w:sz w:val="24"/>
          <w:szCs w:val="24"/>
        </w:rPr>
        <w:t xml:space="preserve"> </w:t>
      </w:r>
      <w:r w:rsidR="00DC2B51">
        <w:rPr>
          <w:rFonts w:ascii="Times New Roman" w:hAnsi="Times New Roman" w:cs="Times New Roman"/>
          <w:bCs/>
          <w:i/>
          <w:sz w:val="24"/>
          <w:szCs w:val="24"/>
        </w:rPr>
        <w:t>jāiesniedz apliecinājums</w:t>
      </w:r>
      <w:r w:rsidR="00DC2B51" w:rsidRPr="00171C77">
        <w:rPr>
          <w:rFonts w:ascii="Times New Roman" w:hAnsi="Times New Roman" w:cs="Times New Roman"/>
          <w:bCs/>
          <w:i/>
          <w:sz w:val="24"/>
          <w:szCs w:val="24"/>
        </w:rPr>
        <w:t xml:space="preserve"> par citu publisko līdzekļu pieejamību</w:t>
      </w:r>
      <w:r w:rsidR="00933191">
        <w:rPr>
          <w:rFonts w:ascii="Times New Roman" w:hAnsi="Times New Roman" w:cs="Times New Roman"/>
          <w:bCs/>
          <w:i/>
          <w:sz w:val="24"/>
          <w:szCs w:val="24"/>
        </w:rPr>
        <w:t xml:space="preserve"> (pašvaldības lēmums par publiskā finansējuma (“</w:t>
      </w:r>
      <w:proofErr w:type="spellStart"/>
      <w:r w:rsidR="00933191">
        <w:rPr>
          <w:rFonts w:ascii="Times New Roman" w:hAnsi="Times New Roman" w:cs="Times New Roman"/>
          <w:bCs/>
          <w:i/>
          <w:sz w:val="24"/>
          <w:szCs w:val="24"/>
        </w:rPr>
        <w:t>priekšfinansējuma</w:t>
      </w:r>
      <w:proofErr w:type="spellEnd"/>
      <w:r w:rsidR="00933191">
        <w:rPr>
          <w:rFonts w:ascii="Times New Roman" w:hAnsi="Times New Roman" w:cs="Times New Roman"/>
          <w:bCs/>
          <w:i/>
          <w:sz w:val="24"/>
          <w:szCs w:val="24"/>
        </w:rPr>
        <w:t>”) nodrošināšanai, apliecinājums par Valsts kases aizdevumu</w:t>
      </w:r>
      <w:r w:rsidR="0068529A">
        <w:rPr>
          <w:rFonts w:ascii="Times New Roman" w:hAnsi="Times New Roman" w:cs="Times New Roman"/>
          <w:bCs/>
          <w:i/>
          <w:sz w:val="24"/>
          <w:szCs w:val="24"/>
        </w:rPr>
        <w:t>)</w:t>
      </w:r>
      <w:r w:rsidR="00DC2B51">
        <w:rPr>
          <w:rFonts w:ascii="Times New Roman" w:hAnsi="Times New Roman" w:cs="Times New Roman"/>
          <w:bCs/>
          <w:i/>
          <w:sz w:val="24"/>
          <w:szCs w:val="24"/>
        </w:rPr>
        <w:t>. Visi specifiskie nosacījumi skaidri jāietver MK noteikumos par SAM/pasākuma īstenošanu un anotācijā.</w:t>
      </w:r>
    </w:p>
    <w:p w14:paraId="6D19E559" w14:textId="4D3BAC69" w:rsidR="005B7B45" w:rsidRPr="00935C0E" w:rsidRDefault="00AD0464" w:rsidP="0082112C">
      <w:pPr>
        <w:pStyle w:val="ListParagraph"/>
        <w:numPr>
          <w:ilvl w:val="0"/>
          <w:numId w:val="5"/>
        </w:numPr>
        <w:spacing w:before="240"/>
        <w:ind w:left="567" w:hanging="567"/>
        <w:jc w:val="both"/>
        <w:rPr>
          <w:rFonts w:ascii="Times New Roman" w:hAnsi="Times New Roman" w:cs="Times New Roman"/>
          <w:sz w:val="24"/>
          <w:szCs w:val="24"/>
        </w:rPr>
      </w:pPr>
      <w:r w:rsidRPr="00935C0E">
        <w:rPr>
          <w:rFonts w:ascii="Times New Roman" w:hAnsi="Times New Roman" w:cs="Times New Roman"/>
          <w:bCs/>
          <w:sz w:val="24"/>
          <w:szCs w:val="24"/>
        </w:rPr>
        <w:t>P</w:t>
      </w:r>
      <w:r w:rsidR="00194B8F" w:rsidRPr="00935C0E">
        <w:rPr>
          <w:rFonts w:ascii="Times New Roman" w:hAnsi="Times New Roman" w:cs="Times New Roman"/>
          <w:bCs/>
          <w:sz w:val="24"/>
          <w:szCs w:val="24"/>
        </w:rPr>
        <w:t>rojekta ieviešanas laikā finansējuma saņēmējs iesniedz maksājuma pieprasījumus, izdalot tajā atsevišķi</w:t>
      </w:r>
      <w:r w:rsidR="00B97166">
        <w:rPr>
          <w:rFonts w:ascii="Times New Roman" w:hAnsi="Times New Roman" w:cs="Times New Roman"/>
          <w:bCs/>
          <w:sz w:val="24"/>
          <w:szCs w:val="24"/>
        </w:rPr>
        <w:t xml:space="preserve">, piemēram, </w:t>
      </w:r>
      <w:r w:rsidR="00194B8F" w:rsidRPr="00935C0E">
        <w:rPr>
          <w:rFonts w:ascii="Times New Roman" w:hAnsi="Times New Roman" w:cs="Times New Roman"/>
          <w:bCs/>
          <w:sz w:val="24"/>
          <w:szCs w:val="24"/>
        </w:rPr>
        <w:t xml:space="preserve"> pašvaldības </w:t>
      </w:r>
      <w:r w:rsidR="00DC2B51">
        <w:rPr>
          <w:rFonts w:ascii="Times New Roman" w:hAnsi="Times New Roman" w:cs="Times New Roman"/>
          <w:bCs/>
          <w:sz w:val="24"/>
          <w:szCs w:val="24"/>
        </w:rPr>
        <w:t>“</w:t>
      </w:r>
      <w:proofErr w:type="spellStart"/>
      <w:r w:rsidR="00194B8F" w:rsidRPr="00935C0E">
        <w:rPr>
          <w:rFonts w:ascii="Times New Roman" w:hAnsi="Times New Roman" w:cs="Times New Roman"/>
          <w:bCs/>
          <w:sz w:val="24"/>
          <w:szCs w:val="24"/>
        </w:rPr>
        <w:t>pri</w:t>
      </w:r>
      <w:r w:rsidR="005B7B45" w:rsidRPr="00935C0E">
        <w:rPr>
          <w:rFonts w:ascii="Times New Roman" w:hAnsi="Times New Roman" w:cs="Times New Roman"/>
          <w:bCs/>
          <w:sz w:val="24"/>
          <w:szCs w:val="24"/>
        </w:rPr>
        <w:t>ekšfinansējumu</w:t>
      </w:r>
      <w:proofErr w:type="spellEnd"/>
      <w:r w:rsidR="00DC2B51">
        <w:rPr>
          <w:rFonts w:ascii="Times New Roman" w:hAnsi="Times New Roman" w:cs="Times New Roman"/>
          <w:bCs/>
          <w:sz w:val="24"/>
          <w:szCs w:val="24"/>
        </w:rPr>
        <w:t>”</w:t>
      </w:r>
      <w:r w:rsidR="005B7B45" w:rsidRPr="00935C0E">
        <w:rPr>
          <w:rFonts w:ascii="Times New Roman" w:hAnsi="Times New Roman" w:cs="Times New Roman"/>
          <w:bCs/>
          <w:sz w:val="24"/>
          <w:szCs w:val="24"/>
        </w:rPr>
        <w:t xml:space="preserve"> </w:t>
      </w:r>
      <w:r w:rsidR="006374A7">
        <w:rPr>
          <w:rFonts w:ascii="Times New Roman" w:hAnsi="Times New Roman" w:cs="Times New Roman"/>
          <w:bCs/>
          <w:sz w:val="24"/>
          <w:szCs w:val="24"/>
        </w:rPr>
        <w:t xml:space="preserve">kā </w:t>
      </w:r>
      <w:r w:rsidR="00CB3E11">
        <w:rPr>
          <w:rFonts w:ascii="Times New Roman" w:hAnsi="Times New Roman" w:cs="Times New Roman"/>
          <w:bCs/>
          <w:sz w:val="24"/>
          <w:szCs w:val="24"/>
        </w:rPr>
        <w:t>c</w:t>
      </w:r>
      <w:r w:rsidR="006374A7">
        <w:rPr>
          <w:rFonts w:ascii="Times New Roman" w:hAnsi="Times New Roman" w:cs="Times New Roman"/>
          <w:bCs/>
          <w:sz w:val="24"/>
          <w:szCs w:val="24"/>
        </w:rPr>
        <w:t xml:space="preserve">itu publisko finansējumu </w:t>
      </w:r>
      <w:r w:rsidR="00B84E2D">
        <w:rPr>
          <w:rFonts w:ascii="Times New Roman" w:hAnsi="Times New Roman" w:cs="Times New Roman"/>
          <w:bCs/>
          <w:sz w:val="24"/>
          <w:szCs w:val="24"/>
        </w:rPr>
        <w:t xml:space="preserve">snieguma </w:t>
      </w:r>
      <w:r w:rsidR="005B7B45" w:rsidRPr="00935C0E">
        <w:rPr>
          <w:rFonts w:ascii="Times New Roman" w:hAnsi="Times New Roman" w:cs="Times New Roman"/>
          <w:bCs/>
          <w:sz w:val="24"/>
          <w:szCs w:val="24"/>
        </w:rPr>
        <w:t>rezerves apjomā.</w:t>
      </w:r>
    </w:p>
    <w:p w14:paraId="15807C13" w14:textId="7F5DCA53" w:rsidR="005B7B45" w:rsidRPr="00935C0E" w:rsidRDefault="00194B8F" w:rsidP="0082112C">
      <w:pPr>
        <w:pStyle w:val="ListParagraph"/>
        <w:numPr>
          <w:ilvl w:val="0"/>
          <w:numId w:val="5"/>
        </w:numPr>
        <w:spacing w:before="240"/>
        <w:ind w:left="567" w:hanging="567"/>
        <w:jc w:val="both"/>
        <w:rPr>
          <w:rFonts w:ascii="Times New Roman" w:hAnsi="Times New Roman" w:cs="Times New Roman"/>
          <w:sz w:val="24"/>
          <w:szCs w:val="24"/>
        </w:rPr>
      </w:pPr>
      <w:r w:rsidRPr="00935C0E">
        <w:rPr>
          <w:rFonts w:ascii="Times New Roman" w:hAnsi="Times New Roman" w:cs="Times New Roman"/>
          <w:bCs/>
          <w:sz w:val="24"/>
          <w:szCs w:val="24"/>
        </w:rPr>
        <w:t>Sadarbības iestāde</w:t>
      </w:r>
      <w:r w:rsidR="00B84E2D">
        <w:rPr>
          <w:rFonts w:ascii="Times New Roman" w:hAnsi="Times New Roman" w:cs="Times New Roman"/>
          <w:bCs/>
          <w:sz w:val="24"/>
          <w:szCs w:val="24"/>
        </w:rPr>
        <w:t>,</w:t>
      </w:r>
      <w:r w:rsidRPr="00935C0E">
        <w:rPr>
          <w:rFonts w:ascii="Times New Roman" w:hAnsi="Times New Roman" w:cs="Times New Roman"/>
          <w:bCs/>
          <w:sz w:val="24"/>
          <w:szCs w:val="24"/>
        </w:rPr>
        <w:t xml:space="preserve"> veicot maksājum</w:t>
      </w:r>
      <w:r w:rsidR="006374A7">
        <w:rPr>
          <w:rFonts w:ascii="Times New Roman" w:hAnsi="Times New Roman" w:cs="Times New Roman"/>
          <w:bCs/>
          <w:sz w:val="24"/>
          <w:szCs w:val="24"/>
        </w:rPr>
        <w:t>a</w:t>
      </w:r>
      <w:r w:rsidRPr="00935C0E">
        <w:rPr>
          <w:rFonts w:ascii="Times New Roman" w:hAnsi="Times New Roman" w:cs="Times New Roman"/>
          <w:bCs/>
          <w:sz w:val="24"/>
          <w:szCs w:val="24"/>
        </w:rPr>
        <w:t xml:space="preserve"> pieprasījumu apstiprināšanu un maksājumu veikšanu, visiem apstiprinātajiem izdevumiem piemēros samazināto </w:t>
      </w:r>
      <w:r w:rsidR="00B84E2D">
        <w:rPr>
          <w:rFonts w:ascii="Times New Roman" w:hAnsi="Times New Roman" w:cs="Times New Roman"/>
          <w:bCs/>
          <w:sz w:val="24"/>
          <w:szCs w:val="24"/>
        </w:rPr>
        <w:t xml:space="preserve">ES fondu finansējuma </w:t>
      </w:r>
      <w:r w:rsidRPr="00935C0E">
        <w:rPr>
          <w:rFonts w:ascii="Times New Roman" w:hAnsi="Times New Roman" w:cs="Times New Roman"/>
          <w:bCs/>
          <w:sz w:val="24"/>
          <w:szCs w:val="24"/>
        </w:rPr>
        <w:t xml:space="preserve">likmi, bet par rezerves </w:t>
      </w:r>
      <w:r w:rsidR="00DC2B51">
        <w:rPr>
          <w:rFonts w:ascii="Times New Roman" w:hAnsi="Times New Roman" w:cs="Times New Roman"/>
          <w:bCs/>
          <w:sz w:val="24"/>
          <w:szCs w:val="24"/>
        </w:rPr>
        <w:t>“</w:t>
      </w:r>
      <w:proofErr w:type="spellStart"/>
      <w:r w:rsidRPr="00935C0E">
        <w:rPr>
          <w:rFonts w:ascii="Times New Roman" w:hAnsi="Times New Roman" w:cs="Times New Roman"/>
          <w:bCs/>
          <w:sz w:val="24"/>
          <w:szCs w:val="24"/>
        </w:rPr>
        <w:t>priekšfinansējumu</w:t>
      </w:r>
      <w:proofErr w:type="spellEnd"/>
      <w:r w:rsidR="00DC2B51">
        <w:rPr>
          <w:rFonts w:ascii="Times New Roman" w:hAnsi="Times New Roman" w:cs="Times New Roman"/>
          <w:bCs/>
          <w:sz w:val="24"/>
          <w:szCs w:val="24"/>
        </w:rPr>
        <w:t>”</w:t>
      </w:r>
      <w:r w:rsidRPr="00935C0E">
        <w:rPr>
          <w:rFonts w:ascii="Times New Roman" w:hAnsi="Times New Roman" w:cs="Times New Roman"/>
          <w:bCs/>
          <w:sz w:val="24"/>
          <w:szCs w:val="24"/>
        </w:rPr>
        <w:t xml:space="preserve"> atmaksas neveiks.</w:t>
      </w:r>
    </w:p>
    <w:p w14:paraId="7D249860" w14:textId="27360CB9" w:rsidR="00194B8F" w:rsidRPr="00D81345" w:rsidRDefault="00B84E2D" w:rsidP="0082112C">
      <w:pPr>
        <w:pStyle w:val="ListParagraph"/>
        <w:numPr>
          <w:ilvl w:val="0"/>
          <w:numId w:val="5"/>
        </w:numPr>
        <w:spacing w:before="240"/>
        <w:ind w:left="567" w:hanging="567"/>
        <w:jc w:val="both"/>
        <w:rPr>
          <w:rFonts w:ascii="Times New Roman" w:hAnsi="Times New Roman" w:cs="Times New Roman"/>
          <w:sz w:val="24"/>
          <w:szCs w:val="24"/>
        </w:rPr>
      </w:pPr>
      <w:r>
        <w:rPr>
          <w:rFonts w:ascii="Times New Roman" w:hAnsi="Times New Roman" w:cs="Times New Roman"/>
          <w:bCs/>
          <w:sz w:val="24"/>
          <w:szCs w:val="24"/>
        </w:rPr>
        <w:t>Pozitīva EK lēmuma gadījumā p</w:t>
      </w:r>
      <w:r w:rsidR="00194B8F" w:rsidRPr="00935C0E">
        <w:rPr>
          <w:rFonts w:ascii="Times New Roman" w:hAnsi="Times New Roman" w:cs="Times New Roman"/>
          <w:bCs/>
          <w:sz w:val="24"/>
          <w:szCs w:val="24"/>
        </w:rPr>
        <w:t xml:space="preserve">ēc </w:t>
      </w:r>
      <w:r>
        <w:rPr>
          <w:rFonts w:ascii="Times New Roman" w:hAnsi="Times New Roman" w:cs="Times New Roman"/>
          <w:bCs/>
          <w:sz w:val="24"/>
          <w:szCs w:val="24"/>
        </w:rPr>
        <w:t xml:space="preserve">attiecīgo </w:t>
      </w:r>
      <w:r w:rsidR="00194B8F" w:rsidRPr="00935C0E">
        <w:rPr>
          <w:rFonts w:ascii="Times New Roman" w:hAnsi="Times New Roman" w:cs="Times New Roman"/>
          <w:bCs/>
          <w:sz w:val="24"/>
          <w:szCs w:val="24"/>
        </w:rPr>
        <w:t>līguma</w:t>
      </w:r>
      <w:r w:rsidR="005E51BC">
        <w:rPr>
          <w:rFonts w:ascii="Times New Roman" w:hAnsi="Times New Roman" w:cs="Times New Roman"/>
          <w:bCs/>
          <w:sz w:val="24"/>
          <w:szCs w:val="24"/>
        </w:rPr>
        <w:t>/vienošanās</w:t>
      </w:r>
      <w:r w:rsidR="00194B8F" w:rsidRPr="00935C0E">
        <w:rPr>
          <w:rFonts w:ascii="Times New Roman" w:hAnsi="Times New Roman" w:cs="Times New Roman"/>
          <w:bCs/>
          <w:sz w:val="24"/>
          <w:szCs w:val="24"/>
        </w:rPr>
        <w:t xml:space="preserve"> grozījumu aps</w:t>
      </w:r>
      <w:r>
        <w:rPr>
          <w:rFonts w:ascii="Times New Roman" w:hAnsi="Times New Roman" w:cs="Times New Roman"/>
          <w:bCs/>
          <w:sz w:val="24"/>
          <w:szCs w:val="24"/>
        </w:rPr>
        <w:t>tiprināšanas S</w:t>
      </w:r>
      <w:r w:rsidR="00194B8F" w:rsidRPr="00935C0E">
        <w:rPr>
          <w:rFonts w:ascii="Times New Roman" w:hAnsi="Times New Roman" w:cs="Times New Roman"/>
          <w:bCs/>
          <w:sz w:val="24"/>
          <w:szCs w:val="24"/>
        </w:rPr>
        <w:t xml:space="preserve">adarbības iestāde veiks līdz šim projekta ietvaros </w:t>
      </w:r>
      <w:r w:rsidR="00A91D24">
        <w:rPr>
          <w:rFonts w:ascii="Times New Roman" w:hAnsi="Times New Roman" w:cs="Times New Roman"/>
          <w:bCs/>
          <w:sz w:val="24"/>
          <w:szCs w:val="24"/>
        </w:rPr>
        <w:t>apstiprināto attiecināmo izdevumu “</w:t>
      </w:r>
      <w:r w:rsidR="00194B8F" w:rsidRPr="00A91D24">
        <w:rPr>
          <w:rFonts w:ascii="Times New Roman" w:hAnsi="Times New Roman" w:cs="Times New Roman"/>
          <w:bCs/>
          <w:i/>
          <w:sz w:val="24"/>
          <w:szCs w:val="24"/>
        </w:rPr>
        <w:t>pārgrāmatošanu</w:t>
      </w:r>
      <w:r w:rsidR="00A91D24">
        <w:rPr>
          <w:rFonts w:ascii="Times New Roman" w:hAnsi="Times New Roman" w:cs="Times New Roman"/>
          <w:bCs/>
          <w:sz w:val="24"/>
          <w:szCs w:val="24"/>
        </w:rPr>
        <w:t>”</w:t>
      </w:r>
      <w:r w:rsidR="00194B8F" w:rsidRPr="00935C0E">
        <w:rPr>
          <w:rFonts w:ascii="Times New Roman" w:hAnsi="Times New Roman" w:cs="Times New Roman"/>
          <w:bCs/>
          <w:sz w:val="24"/>
          <w:szCs w:val="24"/>
        </w:rPr>
        <w:t xml:space="preserve">, aizstājot </w:t>
      </w:r>
      <w:r w:rsidR="00DC2B51">
        <w:rPr>
          <w:rFonts w:ascii="Times New Roman" w:hAnsi="Times New Roman" w:cs="Times New Roman"/>
          <w:bCs/>
          <w:sz w:val="24"/>
          <w:szCs w:val="24"/>
        </w:rPr>
        <w:t>“</w:t>
      </w:r>
      <w:proofErr w:type="spellStart"/>
      <w:r w:rsidR="00194B8F" w:rsidRPr="00935C0E">
        <w:rPr>
          <w:rFonts w:ascii="Times New Roman" w:hAnsi="Times New Roman" w:cs="Times New Roman"/>
          <w:bCs/>
          <w:sz w:val="24"/>
          <w:szCs w:val="24"/>
        </w:rPr>
        <w:t>priekšfinansējumu</w:t>
      </w:r>
      <w:proofErr w:type="spellEnd"/>
      <w:r w:rsidR="00DC2B51">
        <w:rPr>
          <w:rFonts w:ascii="Times New Roman" w:hAnsi="Times New Roman" w:cs="Times New Roman"/>
          <w:bCs/>
          <w:sz w:val="24"/>
          <w:szCs w:val="24"/>
        </w:rPr>
        <w:t>”</w:t>
      </w:r>
      <w:r w:rsidR="00194B8F" w:rsidRPr="00935C0E">
        <w:rPr>
          <w:rFonts w:ascii="Times New Roman" w:hAnsi="Times New Roman" w:cs="Times New Roman"/>
          <w:bCs/>
          <w:sz w:val="24"/>
          <w:szCs w:val="24"/>
        </w:rPr>
        <w:t xml:space="preserve"> ar attiecīgu </w:t>
      </w:r>
      <w:r>
        <w:rPr>
          <w:rFonts w:ascii="Times New Roman" w:hAnsi="Times New Roman" w:cs="Times New Roman"/>
          <w:bCs/>
          <w:sz w:val="24"/>
          <w:szCs w:val="24"/>
        </w:rPr>
        <w:t>ES fondu finansējuma</w:t>
      </w:r>
      <w:r w:rsidR="00194B8F" w:rsidRPr="00935C0E">
        <w:rPr>
          <w:rFonts w:ascii="Times New Roman" w:hAnsi="Times New Roman" w:cs="Times New Roman"/>
          <w:bCs/>
          <w:sz w:val="24"/>
          <w:szCs w:val="24"/>
        </w:rPr>
        <w:t xml:space="preserve"> apjomu un veiks </w:t>
      </w:r>
      <w:r>
        <w:rPr>
          <w:rFonts w:ascii="Times New Roman" w:hAnsi="Times New Roman" w:cs="Times New Roman"/>
          <w:bCs/>
          <w:sz w:val="24"/>
          <w:szCs w:val="24"/>
        </w:rPr>
        <w:t>ES fondu finansējuma</w:t>
      </w:r>
      <w:r w:rsidR="00194B8F" w:rsidRPr="00935C0E">
        <w:rPr>
          <w:rFonts w:ascii="Times New Roman" w:hAnsi="Times New Roman" w:cs="Times New Roman"/>
          <w:bCs/>
          <w:sz w:val="24"/>
          <w:szCs w:val="24"/>
        </w:rPr>
        <w:t xml:space="preserve"> atmaksu uz finansējuma saņēmēja norādīto projekta kontu.</w:t>
      </w:r>
    </w:p>
    <w:p w14:paraId="7BBD7BFB" w14:textId="38A2676E" w:rsidR="00E31FE9" w:rsidRPr="00933191" w:rsidRDefault="00D81345" w:rsidP="00933191">
      <w:pPr>
        <w:pStyle w:val="ListParagraph"/>
        <w:numPr>
          <w:ilvl w:val="0"/>
          <w:numId w:val="5"/>
        </w:numPr>
        <w:spacing w:before="240"/>
        <w:ind w:left="567" w:hanging="567"/>
        <w:jc w:val="both"/>
        <w:rPr>
          <w:rFonts w:ascii="Times New Roman" w:hAnsi="Times New Roman" w:cs="Times New Roman"/>
          <w:bCs/>
          <w:sz w:val="24"/>
          <w:szCs w:val="24"/>
        </w:rPr>
      </w:pPr>
      <w:r w:rsidRPr="00933191">
        <w:rPr>
          <w:rFonts w:ascii="Times New Roman" w:hAnsi="Times New Roman" w:cs="Times New Roman"/>
          <w:bCs/>
          <w:sz w:val="24"/>
          <w:szCs w:val="24"/>
        </w:rPr>
        <w:t xml:space="preserve">Ja EK lēmums par snieguma ietvara izpildi ir negatīvs </w:t>
      </w:r>
      <w:r w:rsidR="00933191" w:rsidRPr="00933191">
        <w:rPr>
          <w:rFonts w:ascii="Times New Roman" w:hAnsi="Times New Roman" w:cs="Times New Roman"/>
          <w:bCs/>
          <w:sz w:val="24"/>
          <w:szCs w:val="24"/>
        </w:rPr>
        <w:t>netiek ierosināti līguma</w:t>
      </w:r>
      <w:r w:rsidR="00933191">
        <w:rPr>
          <w:rFonts w:ascii="Times New Roman" w:hAnsi="Times New Roman" w:cs="Times New Roman"/>
          <w:bCs/>
          <w:sz w:val="24"/>
          <w:szCs w:val="24"/>
        </w:rPr>
        <w:t>/vienošanās</w:t>
      </w:r>
      <w:r w:rsidR="00933191" w:rsidRPr="00933191">
        <w:rPr>
          <w:rFonts w:ascii="Times New Roman" w:hAnsi="Times New Roman" w:cs="Times New Roman"/>
          <w:bCs/>
          <w:sz w:val="24"/>
          <w:szCs w:val="24"/>
        </w:rPr>
        <w:t xml:space="preserve"> grozījumi, </w:t>
      </w:r>
      <w:r w:rsidR="00933191">
        <w:rPr>
          <w:rFonts w:ascii="Times New Roman" w:hAnsi="Times New Roman" w:cs="Times New Roman"/>
          <w:bCs/>
          <w:sz w:val="24"/>
          <w:szCs w:val="24"/>
        </w:rPr>
        <w:t>sadarbības iestāde</w:t>
      </w:r>
      <w:r w:rsidR="00933191" w:rsidRPr="00933191">
        <w:rPr>
          <w:rFonts w:ascii="Times New Roman" w:hAnsi="Times New Roman" w:cs="Times New Roman"/>
          <w:bCs/>
          <w:sz w:val="24"/>
          <w:szCs w:val="24"/>
        </w:rPr>
        <w:t xml:space="preserve"> neveic līguma grozījumus.</w:t>
      </w:r>
      <w:r w:rsidR="00933191">
        <w:rPr>
          <w:rFonts w:ascii="Times New Roman" w:hAnsi="Times New Roman" w:cs="Times New Roman"/>
          <w:bCs/>
          <w:sz w:val="24"/>
          <w:szCs w:val="24"/>
        </w:rPr>
        <w:t xml:space="preserve"> </w:t>
      </w:r>
      <w:r w:rsidR="00933191" w:rsidRPr="00933191">
        <w:rPr>
          <w:rFonts w:ascii="Times New Roman" w:hAnsi="Times New Roman" w:cs="Times New Roman"/>
          <w:bCs/>
          <w:sz w:val="24"/>
          <w:szCs w:val="24"/>
        </w:rPr>
        <w:t>Projektu</w:t>
      </w:r>
      <w:r w:rsidR="00933191">
        <w:rPr>
          <w:rFonts w:ascii="Times New Roman" w:hAnsi="Times New Roman" w:cs="Times New Roman"/>
          <w:bCs/>
          <w:sz w:val="24"/>
          <w:szCs w:val="24"/>
        </w:rPr>
        <w:t>s</w:t>
      </w:r>
      <w:r w:rsidR="00933191" w:rsidRPr="00933191">
        <w:rPr>
          <w:rFonts w:ascii="Times New Roman" w:hAnsi="Times New Roman" w:cs="Times New Roman"/>
          <w:bCs/>
          <w:sz w:val="24"/>
          <w:szCs w:val="24"/>
        </w:rPr>
        <w:t xml:space="preserve"> turpina īstenot ar tādām </w:t>
      </w:r>
      <w:r w:rsidR="00933191">
        <w:rPr>
          <w:rFonts w:ascii="Times New Roman" w:hAnsi="Times New Roman" w:cs="Times New Roman"/>
          <w:bCs/>
          <w:sz w:val="24"/>
          <w:szCs w:val="24"/>
        </w:rPr>
        <w:t xml:space="preserve">līdzfinansējuma </w:t>
      </w:r>
      <w:r w:rsidR="00933191" w:rsidRPr="00933191">
        <w:rPr>
          <w:rFonts w:ascii="Times New Roman" w:hAnsi="Times New Roman" w:cs="Times New Roman"/>
          <w:bCs/>
          <w:sz w:val="24"/>
          <w:szCs w:val="24"/>
        </w:rPr>
        <w:t xml:space="preserve">likmēm un avotiem (t.sk. </w:t>
      </w:r>
      <w:proofErr w:type="spellStart"/>
      <w:r w:rsidR="00933191" w:rsidRPr="00933191">
        <w:rPr>
          <w:rFonts w:ascii="Times New Roman" w:hAnsi="Times New Roman" w:cs="Times New Roman"/>
          <w:bCs/>
          <w:sz w:val="24"/>
          <w:szCs w:val="24"/>
        </w:rPr>
        <w:t>priekšfinansējumu</w:t>
      </w:r>
      <w:proofErr w:type="spellEnd"/>
      <w:r w:rsidR="00933191" w:rsidRPr="00933191">
        <w:rPr>
          <w:rFonts w:ascii="Times New Roman" w:hAnsi="Times New Roman" w:cs="Times New Roman"/>
          <w:bCs/>
          <w:sz w:val="24"/>
          <w:szCs w:val="24"/>
        </w:rPr>
        <w:t xml:space="preserve">) kā </w:t>
      </w:r>
      <w:r w:rsidR="00933191">
        <w:rPr>
          <w:rFonts w:ascii="Times New Roman" w:hAnsi="Times New Roman" w:cs="Times New Roman"/>
          <w:bCs/>
          <w:sz w:val="24"/>
          <w:szCs w:val="24"/>
        </w:rPr>
        <w:t xml:space="preserve">tika </w:t>
      </w:r>
      <w:r w:rsidR="00933191" w:rsidRPr="00933191">
        <w:rPr>
          <w:rFonts w:ascii="Times New Roman" w:hAnsi="Times New Roman" w:cs="Times New Roman"/>
          <w:bCs/>
          <w:sz w:val="24"/>
          <w:szCs w:val="24"/>
        </w:rPr>
        <w:t>paredzēts projektā to apstiprinot.</w:t>
      </w:r>
      <w:r w:rsidR="00E31FE9" w:rsidRPr="00933191">
        <w:rPr>
          <w:rFonts w:ascii="Times New Roman" w:hAnsi="Times New Roman" w:cs="Times New Roman"/>
          <w:sz w:val="24"/>
          <w:szCs w:val="24"/>
        </w:rPr>
        <w:br/>
      </w:r>
    </w:p>
    <w:p w14:paraId="72C33DE5" w14:textId="77777777" w:rsidR="00D934A0" w:rsidRDefault="00D934A0" w:rsidP="00E31FE9">
      <w:pPr>
        <w:jc w:val="both"/>
        <w:rPr>
          <w:rFonts w:ascii="Times New Roman" w:hAnsi="Times New Roman" w:cs="Times New Roman"/>
          <w:sz w:val="24"/>
          <w:szCs w:val="24"/>
        </w:rPr>
      </w:pPr>
    </w:p>
    <w:p w14:paraId="472A71C7" w14:textId="77777777" w:rsidR="00D934A0" w:rsidRDefault="00D934A0" w:rsidP="00E31FE9">
      <w:pPr>
        <w:jc w:val="both"/>
        <w:rPr>
          <w:rFonts w:ascii="Times New Roman" w:hAnsi="Times New Roman" w:cs="Times New Roman"/>
          <w:sz w:val="24"/>
          <w:szCs w:val="24"/>
        </w:rPr>
      </w:pPr>
    </w:p>
    <w:p w14:paraId="425BB53C" w14:textId="77777777" w:rsidR="00D934A0" w:rsidRDefault="00D934A0" w:rsidP="00E31FE9">
      <w:pPr>
        <w:jc w:val="both"/>
        <w:rPr>
          <w:rFonts w:ascii="Times New Roman" w:hAnsi="Times New Roman" w:cs="Times New Roman"/>
          <w:sz w:val="24"/>
          <w:szCs w:val="24"/>
        </w:rPr>
      </w:pPr>
    </w:p>
    <w:p w14:paraId="5C86E42B" w14:textId="5C04A61E" w:rsidR="00CB3E11" w:rsidRDefault="00CB3E11" w:rsidP="00E31FE9">
      <w:pPr>
        <w:jc w:val="both"/>
        <w:rPr>
          <w:rFonts w:ascii="Times New Roman" w:hAnsi="Times New Roman" w:cs="Times New Roman"/>
          <w:sz w:val="24"/>
          <w:szCs w:val="24"/>
        </w:rPr>
      </w:pPr>
      <w:r>
        <w:rPr>
          <w:rFonts w:ascii="Times New Roman" w:hAnsi="Times New Roman" w:cs="Times New Roman"/>
          <w:sz w:val="24"/>
          <w:szCs w:val="24"/>
        </w:rPr>
        <w:t>STANDARTA LĪGUMĀ/VIENOŠANĀS PAREDZĒTIE PROJEKTA FINANSĒŠANAS NOSACĪJUMI UN</w:t>
      </w:r>
      <w:r w:rsidRPr="00CA0AE8">
        <w:rPr>
          <w:rFonts w:ascii="Times New Roman" w:hAnsi="Times New Roman" w:cs="Times New Roman"/>
          <w:sz w:val="24"/>
          <w:szCs w:val="24"/>
        </w:rPr>
        <w:t xml:space="preserve"> </w:t>
      </w:r>
      <w:r>
        <w:rPr>
          <w:rFonts w:ascii="Times New Roman" w:hAnsi="Times New Roman" w:cs="Times New Roman"/>
          <w:sz w:val="24"/>
          <w:szCs w:val="24"/>
        </w:rPr>
        <w:t>VIENOŠANĀS/LĪGUMA GROZĪJUMU VEIKŠANAS KĀRTĪBA (IZVILKUMS PARAUGAM)</w:t>
      </w:r>
      <w:r>
        <w:rPr>
          <w:rStyle w:val="FootnoteReference"/>
          <w:rFonts w:ascii="Times New Roman" w:hAnsi="Times New Roman" w:cs="Times New Roman"/>
          <w:sz w:val="24"/>
          <w:szCs w:val="24"/>
        </w:rPr>
        <w:footnoteReference w:id="6"/>
      </w:r>
    </w:p>
    <w:p w14:paraId="3DEC22E8" w14:textId="77777777" w:rsidR="00CB3E11" w:rsidRDefault="00CB3E11" w:rsidP="00CB3E11">
      <w:pPr>
        <w:rPr>
          <w:rFonts w:ascii="Times New Roman" w:hAnsi="Times New Roman" w:cs="Times New Roman"/>
          <w:sz w:val="24"/>
          <w:szCs w:val="24"/>
        </w:rPr>
      </w:pPr>
    </w:p>
    <w:p w14:paraId="2703FD98" w14:textId="77777777" w:rsidR="00CB3E11" w:rsidRPr="0077724F" w:rsidRDefault="00CB3E11" w:rsidP="00CB3E11">
      <w:pPr>
        <w:jc w:val="center"/>
        <w:rPr>
          <w:rFonts w:cs="Times New Roman"/>
          <w:b/>
          <w:i/>
          <w:sz w:val="24"/>
          <w:szCs w:val="24"/>
        </w:rPr>
      </w:pPr>
      <w:r w:rsidRPr="0077724F">
        <w:rPr>
          <w:rFonts w:cs="Times New Roman"/>
          <w:b/>
          <w:i/>
          <w:sz w:val="24"/>
          <w:szCs w:val="24"/>
        </w:rPr>
        <w:t>Līguma individuālā daļa</w:t>
      </w:r>
    </w:p>
    <w:p w14:paraId="5F24657E" w14:textId="77777777" w:rsidR="00CB3E11" w:rsidRPr="0077724F" w:rsidRDefault="00CB3E11" w:rsidP="00CB3E11">
      <w:pPr>
        <w:pStyle w:val="ListParagraph"/>
        <w:widowControl w:val="0"/>
        <w:tabs>
          <w:tab w:val="left" w:pos="709"/>
        </w:tabs>
        <w:autoSpaceDE w:val="0"/>
        <w:autoSpaceDN w:val="0"/>
        <w:adjustRightInd w:val="0"/>
        <w:spacing w:after="0" w:line="240" w:lineRule="auto"/>
        <w:ind w:left="0"/>
        <w:jc w:val="both"/>
        <w:rPr>
          <w:i/>
          <w:sz w:val="24"/>
          <w:szCs w:val="24"/>
        </w:rPr>
      </w:pPr>
      <w:r w:rsidRPr="0077724F">
        <w:rPr>
          <w:i/>
          <w:sz w:val="24"/>
          <w:szCs w:val="24"/>
        </w:rPr>
        <w:t xml:space="preserve">Projekta kopējie izdevumi: </w:t>
      </w:r>
      <w:r w:rsidRPr="0077724F">
        <w:rPr>
          <w:b/>
          <w:i/>
          <w:sz w:val="24"/>
          <w:szCs w:val="24"/>
        </w:rPr>
        <w:t>______________ EUR</w:t>
      </w:r>
      <w:r w:rsidRPr="0077724F">
        <w:rPr>
          <w:i/>
          <w:sz w:val="24"/>
          <w:szCs w:val="24"/>
        </w:rPr>
        <w:t xml:space="preserve"> (</w:t>
      </w:r>
      <w:r w:rsidRPr="0077724F">
        <w:rPr>
          <w:i/>
          <w:color w:val="FF0000"/>
          <w:sz w:val="24"/>
          <w:szCs w:val="24"/>
        </w:rPr>
        <w:t>&lt;summa vārdiem&gt;</w:t>
      </w:r>
      <w:r w:rsidRPr="0077724F">
        <w:rPr>
          <w:i/>
          <w:sz w:val="24"/>
          <w:szCs w:val="24"/>
        </w:rPr>
        <w:t xml:space="preserve">), no tiem </w:t>
      </w:r>
      <w:r w:rsidRPr="0077724F">
        <w:rPr>
          <w:bCs/>
          <w:i/>
          <w:sz w:val="24"/>
          <w:szCs w:val="24"/>
        </w:rPr>
        <w:t>kopējie attiecināmie izdevumi:____________ </w:t>
      </w:r>
      <w:r w:rsidRPr="0077724F">
        <w:rPr>
          <w:b/>
          <w:bCs/>
          <w:i/>
          <w:sz w:val="24"/>
          <w:szCs w:val="24"/>
        </w:rPr>
        <w:t>EUR</w:t>
      </w:r>
      <w:r w:rsidRPr="0077724F">
        <w:rPr>
          <w:bCs/>
          <w:i/>
          <w:sz w:val="24"/>
          <w:szCs w:val="24"/>
        </w:rPr>
        <w:t xml:space="preserve"> (</w:t>
      </w:r>
      <w:r w:rsidRPr="0077724F">
        <w:rPr>
          <w:bCs/>
          <w:i/>
          <w:color w:val="FF0000"/>
          <w:sz w:val="24"/>
          <w:szCs w:val="24"/>
        </w:rPr>
        <w:t>&lt;summa vārdiem&gt;</w:t>
      </w:r>
      <w:r w:rsidRPr="0077724F">
        <w:rPr>
          <w:bCs/>
          <w:i/>
          <w:sz w:val="24"/>
          <w:szCs w:val="24"/>
        </w:rPr>
        <w:t>):</w:t>
      </w:r>
    </w:p>
    <w:p w14:paraId="1256723C" w14:textId="77777777" w:rsidR="00CB3E11" w:rsidRPr="0077724F" w:rsidRDefault="00CB3E11" w:rsidP="00CB3E11">
      <w:pPr>
        <w:pStyle w:val="ListParagraph"/>
        <w:widowControl w:val="0"/>
        <w:numPr>
          <w:ilvl w:val="0"/>
          <w:numId w:val="14"/>
        </w:numPr>
        <w:tabs>
          <w:tab w:val="left" w:pos="709"/>
        </w:tabs>
        <w:autoSpaceDE w:val="0"/>
        <w:autoSpaceDN w:val="0"/>
        <w:adjustRightInd w:val="0"/>
        <w:spacing w:after="0" w:line="240" w:lineRule="auto"/>
        <w:jc w:val="both"/>
        <w:rPr>
          <w:bCs/>
          <w:i/>
          <w:sz w:val="24"/>
          <w:szCs w:val="24"/>
        </w:rPr>
      </w:pPr>
      <w:r w:rsidRPr="0077724F">
        <w:rPr>
          <w:i/>
          <w:spacing w:val="-3"/>
          <w:sz w:val="24"/>
          <w:szCs w:val="24"/>
        </w:rPr>
        <w:t xml:space="preserve">Atbalsta summa: </w:t>
      </w:r>
      <w:r w:rsidRPr="0077724F">
        <w:rPr>
          <w:bCs/>
          <w:i/>
          <w:sz w:val="24"/>
          <w:szCs w:val="24"/>
        </w:rPr>
        <w:t>___ </w:t>
      </w:r>
      <w:r w:rsidRPr="0077724F">
        <w:rPr>
          <w:i/>
          <w:spacing w:val="-3"/>
          <w:sz w:val="24"/>
          <w:szCs w:val="24"/>
        </w:rPr>
        <w:t>, nepārsniedzot</w:t>
      </w:r>
      <w:r w:rsidRPr="0077724F">
        <w:rPr>
          <w:i/>
          <w:spacing w:val="4"/>
          <w:sz w:val="24"/>
          <w:szCs w:val="24"/>
        </w:rPr>
        <w:t xml:space="preserve"> </w:t>
      </w:r>
      <w:r w:rsidRPr="0077724F">
        <w:rPr>
          <w:bCs/>
          <w:i/>
          <w:sz w:val="24"/>
          <w:szCs w:val="24"/>
        </w:rPr>
        <w:t>____________________</w:t>
      </w:r>
      <w:r w:rsidRPr="0077724F">
        <w:rPr>
          <w:bCs/>
          <w:i/>
          <w:spacing w:val="4"/>
          <w:sz w:val="24"/>
          <w:szCs w:val="24"/>
        </w:rPr>
        <w:t xml:space="preserve"> </w:t>
      </w:r>
      <w:r w:rsidRPr="0077724F">
        <w:rPr>
          <w:b/>
          <w:bCs/>
          <w:i/>
          <w:spacing w:val="4"/>
          <w:sz w:val="24"/>
          <w:szCs w:val="24"/>
        </w:rPr>
        <w:t>EUR</w:t>
      </w:r>
      <w:r w:rsidRPr="0077724F">
        <w:rPr>
          <w:bCs/>
          <w:i/>
          <w:spacing w:val="4"/>
          <w:sz w:val="24"/>
          <w:szCs w:val="24"/>
        </w:rPr>
        <w:t xml:space="preserve"> (</w:t>
      </w:r>
      <w:r w:rsidRPr="0077724F">
        <w:rPr>
          <w:bCs/>
          <w:i/>
          <w:color w:val="FF0000"/>
          <w:sz w:val="24"/>
          <w:szCs w:val="24"/>
        </w:rPr>
        <w:t>&lt;summa vārdiem&gt;</w:t>
      </w:r>
      <w:r w:rsidRPr="0077724F">
        <w:rPr>
          <w:bCs/>
          <w:i/>
          <w:spacing w:val="4"/>
          <w:sz w:val="24"/>
          <w:szCs w:val="24"/>
        </w:rPr>
        <w:t>)</w:t>
      </w:r>
      <w:r w:rsidRPr="0077724F">
        <w:rPr>
          <w:i/>
          <w:spacing w:val="-3"/>
          <w:sz w:val="24"/>
          <w:szCs w:val="24"/>
        </w:rPr>
        <w:t>,</w:t>
      </w:r>
      <w:r w:rsidRPr="0077724F">
        <w:rPr>
          <w:bCs/>
          <w:i/>
          <w:spacing w:val="4"/>
          <w:sz w:val="24"/>
          <w:szCs w:val="24"/>
        </w:rPr>
        <w:t xml:space="preserve"> no tās:</w:t>
      </w:r>
    </w:p>
    <w:p w14:paraId="19692B03" w14:textId="77777777" w:rsidR="00CB3E11" w:rsidRPr="0077724F" w:rsidRDefault="00CB3E11" w:rsidP="00CB3E11">
      <w:pPr>
        <w:pStyle w:val="ListParagraph"/>
        <w:widowControl w:val="0"/>
        <w:numPr>
          <w:ilvl w:val="1"/>
          <w:numId w:val="14"/>
        </w:numPr>
        <w:tabs>
          <w:tab w:val="left" w:pos="709"/>
        </w:tabs>
        <w:autoSpaceDE w:val="0"/>
        <w:autoSpaceDN w:val="0"/>
        <w:adjustRightInd w:val="0"/>
        <w:spacing w:after="0" w:line="240" w:lineRule="auto"/>
        <w:jc w:val="both"/>
        <w:rPr>
          <w:bCs/>
          <w:i/>
          <w:sz w:val="24"/>
          <w:szCs w:val="24"/>
        </w:rPr>
      </w:pPr>
      <w:r w:rsidRPr="0077724F">
        <w:rPr>
          <w:bCs/>
          <w:i/>
          <w:color w:val="000000" w:themeColor="text1"/>
          <w:sz w:val="24"/>
          <w:szCs w:val="24"/>
        </w:rPr>
        <w:t xml:space="preserve">ERAF </w:t>
      </w:r>
      <w:r w:rsidRPr="0077724F">
        <w:rPr>
          <w:bCs/>
          <w:i/>
          <w:sz w:val="24"/>
          <w:szCs w:val="24"/>
        </w:rPr>
        <w:t xml:space="preserve">finansējums: _______, nepārsniedzot ___________________ </w:t>
      </w:r>
      <w:r w:rsidRPr="0077724F">
        <w:rPr>
          <w:b/>
          <w:bCs/>
          <w:i/>
          <w:sz w:val="24"/>
          <w:szCs w:val="24"/>
        </w:rPr>
        <w:t>EUR</w:t>
      </w:r>
      <w:r w:rsidRPr="0077724F">
        <w:rPr>
          <w:bCs/>
          <w:i/>
          <w:sz w:val="24"/>
          <w:szCs w:val="24"/>
        </w:rPr>
        <w:t xml:space="preserve"> (</w:t>
      </w:r>
      <w:r w:rsidRPr="0077724F">
        <w:rPr>
          <w:bCs/>
          <w:i/>
          <w:color w:val="FF0000"/>
          <w:sz w:val="24"/>
          <w:szCs w:val="24"/>
        </w:rPr>
        <w:t>&lt;summa vārdiem&gt;</w:t>
      </w:r>
      <w:r w:rsidRPr="0077724F">
        <w:rPr>
          <w:bCs/>
          <w:i/>
          <w:sz w:val="24"/>
          <w:szCs w:val="24"/>
        </w:rPr>
        <w:t xml:space="preserve">); </w:t>
      </w:r>
    </w:p>
    <w:p w14:paraId="72A3C2F1" w14:textId="77777777" w:rsidR="00CB3E11" w:rsidRPr="0077724F" w:rsidRDefault="00CB3E11" w:rsidP="00CB3E11">
      <w:pPr>
        <w:pStyle w:val="ListParagraph"/>
        <w:widowControl w:val="0"/>
        <w:numPr>
          <w:ilvl w:val="1"/>
          <w:numId w:val="14"/>
        </w:numPr>
        <w:tabs>
          <w:tab w:val="left" w:pos="709"/>
        </w:tabs>
        <w:autoSpaceDE w:val="0"/>
        <w:autoSpaceDN w:val="0"/>
        <w:adjustRightInd w:val="0"/>
        <w:spacing w:after="0" w:line="240" w:lineRule="auto"/>
        <w:jc w:val="both"/>
        <w:rPr>
          <w:bCs/>
          <w:i/>
          <w:sz w:val="24"/>
          <w:szCs w:val="24"/>
        </w:rPr>
      </w:pPr>
      <w:r w:rsidRPr="0077724F">
        <w:rPr>
          <w:bCs/>
          <w:i/>
          <w:color w:val="000000" w:themeColor="text1"/>
          <w:sz w:val="24"/>
          <w:szCs w:val="24"/>
        </w:rPr>
        <w:t>valsts budžeta dotācija pašvaldībām: ____ , nepārsniedzot ______________ </w:t>
      </w:r>
      <w:r w:rsidRPr="0077724F">
        <w:rPr>
          <w:b/>
          <w:bCs/>
          <w:i/>
          <w:color w:val="000000" w:themeColor="text1"/>
          <w:sz w:val="24"/>
          <w:szCs w:val="24"/>
        </w:rPr>
        <w:t>EUR</w:t>
      </w:r>
      <w:r w:rsidRPr="0077724F">
        <w:rPr>
          <w:bCs/>
          <w:i/>
          <w:color w:val="000000" w:themeColor="text1"/>
          <w:sz w:val="24"/>
          <w:szCs w:val="24"/>
        </w:rPr>
        <w:t xml:space="preserve"> </w:t>
      </w:r>
      <w:r w:rsidRPr="0077724F">
        <w:rPr>
          <w:bCs/>
          <w:i/>
          <w:color w:val="FF0000"/>
          <w:sz w:val="24"/>
          <w:szCs w:val="24"/>
        </w:rPr>
        <w:t>(&lt;summa vārdiem&gt;);</w:t>
      </w:r>
    </w:p>
    <w:p w14:paraId="0F7A81E1" w14:textId="77777777" w:rsidR="00CB3E11" w:rsidRPr="0077724F" w:rsidRDefault="00CB3E11" w:rsidP="00CB3E11">
      <w:pPr>
        <w:pStyle w:val="ListParagraph"/>
        <w:widowControl w:val="0"/>
        <w:numPr>
          <w:ilvl w:val="0"/>
          <w:numId w:val="14"/>
        </w:numPr>
        <w:tabs>
          <w:tab w:val="left" w:pos="709"/>
        </w:tabs>
        <w:autoSpaceDE w:val="0"/>
        <w:autoSpaceDN w:val="0"/>
        <w:adjustRightInd w:val="0"/>
        <w:spacing w:after="0" w:line="240" w:lineRule="auto"/>
        <w:jc w:val="both"/>
        <w:rPr>
          <w:bCs/>
          <w:i/>
          <w:sz w:val="24"/>
          <w:szCs w:val="24"/>
        </w:rPr>
      </w:pPr>
      <w:r w:rsidRPr="0077724F">
        <w:rPr>
          <w:bCs/>
          <w:i/>
          <w:color w:val="FF0000"/>
          <w:sz w:val="24"/>
          <w:szCs w:val="24"/>
        </w:rPr>
        <w:t>&lt;Pašvaldības</w:t>
      </w:r>
      <w:r w:rsidRPr="0077724F">
        <w:rPr>
          <w:bCs/>
          <w:i/>
          <w:strike/>
          <w:color w:val="FF0000"/>
          <w:sz w:val="24"/>
          <w:szCs w:val="24"/>
        </w:rPr>
        <w:t>/</w:t>
      </w:r>
      <w:r w:rsidRPr="0077724F">
        <w:rPr>
          <w:bCs/>
          <w:i/>
          <w:color w:val="FF0000"/>
          <w:sz w:val="24"/>
          <w:szCs w:val="24"/>
        </w:rPr>
        <w:t xml:space="preserve">pašvaldības izveidotas iestādes/pašvaldības kapitālsabiedrības/brīvostas pārvaldes/speciālās ekonomiskās zonas pārvaldes&gt; </w:t>
      </w:r>
      <w:r w:rsidRPr="0077724F">
        <w:rPr>
          <w:bCs/>
          <w:i/>
          <w:color w:val="000000" w:themeColor="text1"/>
          <w:sz w:val="24"/>
          <w:szCs w:val="24"/>
        </w:rPr>
        <w:t>- finansējuma saņēmēja -</w:t>
      </w:r>
      <w:r w:rsidRPr="0077724F" w:rsidDel="002B2ACE">
        <w:rPr>
          <w:bCs/>
          <w:i/>
          <w:color w:val="000000" w:themeColor="text1"/>
          <w:sz w:val="24"/>
          <w:szCs w:val="24"/>
        </w:rPr>
        <w:t xml:space="preserve"> </w:t>
      </w:r>
      <w:r w:rsidRPr="0077724F">
        <w:rPr>
          <w:bCs/>
          <w:i/>
          <w:color w:val="000000" w:themeColor="text1"/>
          <w:sz w:val="24"/>
          <w:szCs w:val="24"/>
        </w:rPr>
        <w:t>finansējums: ____, nepārsniedzot ______________ </w:t>
      </w:r>
      <w:r w:rsidRPr="0077724F">
        <w:rPr>
          <w:b/>
          <w:bCs/>
          <w:i/>
          <w:color w:val="000000" w:themeColor="text1"/>
          <w:sz w:val="24"/>
          <w:szCs w:val="24"/>
        </w:rPr>
        <w:t>EUR</w:t>
      </w:r>
      <w:r w:rsidRPr="0077724F">
        <w:rPr>
          <w:bCs/>
          <w:i/>
          <w:color w:val="FF0000"/>
          <w:sz w:val="24"/>
          <w:szCs w:val="24"/>
        </w:rPr>
        <w:t xml:space="preserve"> (&lt;summa vārdiem&gt;);</w:t>
      </w:r>
    </w:p>
    <w:p w14:paraId="69D53E9F" w14:textId="77777777" w:rsidR="00CB3E11" w:rsidRPr="0077724F" w:rsidRDefault="00CB3E11" w:rsidP="00CB3E11">
      <w:pPr>
        <w:pStyle w:val="ListParagraph"/>
        <w:widowControl w:val="0"/>
        <w:numPr>
          <w:ilvl w:val="0"/>
          <w:numId w:val="14"/>
        </w:numPr>
        <w:tabs>
          <w:tab w:val="left" w:pos="709"/>
        </w:tabs>
        <w:autoSpaceDE w:val="0"/>
        <w:autoSpaceDN w:val="0"/>
        <w:adjustRightInd w:val="0"/>
        <w:spacing w:after="0" w:line="240" w:lineRule="auto"/>
        <w:jc w:val="both"/>
        <w:rPr>
          <w:bCs/>
          <w:i/>
          <w:sz w:val="24"/>
          <w:szCs w:val="24"/>
        </w:rPr>
      </w:pPr>
      <w:r w:rsidRPr="0077724F">
        <w:rPr>
          <w:bCs/>
          <w:i/>
          <w:color w:val="000000" w:themeColor="text1"/>
          <w:sz w:val="24"/>
          <w:szCs w:val="24"/>
        </w:rPr>
        <w:t>privātais attiecināmais finansējums: ___ , nepārsniedzot ______________ </w:t>
      </w:r>
      <w:r w:rsidRPr="0077724F">
        <w:rPr>
          <w:b/>
          <w:bCs/>
          <w:i/>
          <w:color w:val="000000" w:themeColor="text1"/>
          <w:sz w:val="24"/>
          <w:szCs w:val="24"/>
        </w:rPr>
        <w:t>EUR</w:t>
      </w:r>
      <w:r w:rsidRPr="0077724F">
        <w:rPr>
          <w:bCs/>
          <w:i/>
          <w:color w:val="000000" w:themeColor="text1"/>
          <w:sz w:val="24"/>
          <w:szCs w:val="24"/>
        </w:rPr>
        <w:t xml:space="preserve"> </w:t>
      </w:r>
      <w:r w:rsidRPr="0077724F">
        <w:rPr>
          <w:bCs/>
          <w:i/>
          <w:color w:val="FF0000"/>
          <w:sz w:val="24"/>
          <w:szCs w:val="24"/>
        </w:rPr>
        <w:t>(&lt;summa vārdiem&gt;)</w:t>
      </w:r>
    </w:p>
    <w:p w14:paraId="34D04835" w14:textId="77777777" w:rsidR="00CB3E11" w:rsidRPr="0077724F" w:rsidRDefault="00CB3E11" w:rsidP="00CB3E11">
      <w:pPr>
        <w:pStyle w:val="ListParagraph"/>
        <w:widowControl w:val="0"/>
        <w:numPr>
          <w:ilvl w:val="0"/>
          <w:numId w:val="14"/>
        </w:numPr>
        <w:tabs>
          <w:tab w:val="left" w:pos="709"/>
        </w:tabs>
        <w:autoSpaceDE w:val="0"/>
        <w:autoSpaceDN w:val="0"/>
        <w:adjustRightInd w:val="0"/>
        <w:spacing w:after="0" w:line="240" w:lineRule="auto"/>
        <w:jc w:val="both"/>
        <w:rPr>
          <w:bCs/>
          <w:i/>
          <w:sz w:val="24"/>
          <w:szCs w:val="24"/>
        </w:rPr>
      </w:pPr>
      <w:r w:rsidRPr="0077724F">
        <w:rPr>
          <w:bCs/>
          <w:i/>
          <w:color w:val="000000" w:themeColor="text1"/>
          <w:sz w:val="24"/>
          <w:szCs w:val="24"/>
        </w:rPr>
        <w:t xml:space="preserve">Cits publiskais finansējums, ko līdz lēmumam par snieguma ietvara piešķiršanu </w:t>
      </w:r>
      <w:proofErr w:type="spellStart"/>
      <w:r w:rsidRPr="0077724F">
        <w:rPr>
          <w:bCs/>
          <w:i/>
          <w:color w:val="000000" w:themeColor="text1"/>
          <w:sz w:val="24"/>
          <w:szCs w:val="24"/>
        </w:rPr>
        <w:t>priekšfinansē</w:t>
      </w:r>
      <w:proofErr w:type="spellEnd"/>
      <w:r w:rsidRPr="0077724F">
        <w:rPr>
          <w:bCs/>
          <w:i/>
          <w:color w:val="000000" w:themeColor="text1"/>
          <w:sz w:val="24"/>
          <w:szCs w:val="24"/>
        </w:rPr>
        <w:t xml:space="preserve"> </w:t>
      </w:r>
      <w:r w:rsidRPr="0077724F">
        <w:rPr>
          <w:bCs/>
          <w:i/>
          <w:color w:val="FF0000"/>
          <w:sz w:val="24"/>
          <w:szCs w:val="24"/>
        </w:rPr>
        <w:t xml:space="preserve">&lt;pašvaldība&gt;: </w:t>
      </w:r>
      <w:r w:rsidRPr="0077724F">
        <w:rPr>
          <w:b/>
          <w:i/>
          <w:sz w:val="24"/>
          <w:szCs w:val="24"/>
        </w:rPr>
        <w:t>______________ EUR</w:t>
      </w:r>
      <w:r w:rsidRPr="0077724F">
        <w:rPr>
          <w:i/>
          <w:sz w:val="24"/>
          <w:szCs w:val="24"/>
        </w:rPr>
        <w:t xml:space="preserve"> (</w:t>
      </w:r>
      <w:r w:rsidRPr="0077724F">
        <w:rPr>
          <w:i/>
          <w:color w:val="FF0000"/>
          <w:sz w:val="24"/>
          <w:szCs w:val="24"/>
        </w:rPr>
        <w:t>&lt;summa vārdiem&gt;</w:t>
      </w:r>
      <w:r w:rsidRPr="0077724F">
        <w:rPr>
          <w:i/>
          <w:sz w:val="24"/>
          <w:szCs w:val="24"/>
        </w:rPr>
        <w:t>)</w:t>
      </w:r>
      <w:r w:rsidRPr="0077724F">
        <w:rPr>
          <w:bCs/>
          <w:i/>
          <w:color w:val="000000" w:themeColor="text1"/>
          <w:sz w:val="24"/>
          <w:szCs w:val="24"/>
        </w:rPr>
        <w:t xml:space="preserve">, nepārsniedzot ___________________ </w:t>
      </w:r>
      <w:r w:rsidRPr="0077724F">
        <w:rPr>
          <w:b/>
          <w:bCs/>
          <w:i/>
          <w:color w:val="000000" w:themeColor="text1"/>
          <w:sz w:val="24"/>
          <w:szCs w:val="24"/>
        </w:rPr>
        <w:t>EUR</w:t>
      </w:r>
      <w:r w:rsidRPr="0077724F">
        <w:rPr>
          <w:bCs/>
          <w:i/>
          <w:color w:val="000000" w:themeColor="text1"/>
          <w:sz w:val="24"/>
          <w:szCs w:val="24"/>
        </w:rPr>
        <w:t xml:space="preserve"> </w:t>
      </w:r>
      <w:r w:rsidRPr="0077724F">
        <w:rPr>
          <w:bCs/>
          <w:i/>
          <w:color w:val="FF0000"/>
          <w:sz w:val="24"/>
          <w:szCs w:val="24"/>
        </w:rPr>
        <w:t>(&lt;summa vārdiem&gt;).</w:t>
      </w:r>
    </w:p>
    <w:p w14:paraId="45882127" w14:textId="6F62E74F" w:rsidR="00E31FE9" w:rsidRPr="00E31FE9" w:rsidRDefault="00E31FE9" w:rsidP="00E31FE9">
      <w:pPr>
        <w:spacing w:after="0" w:line="240" w:lineRule="auto"/>
        <w:rPr>
          <w:b/>
          <w:i/>
          <w:color w:val="FF0000"/>
          <w:sz w:val="24"/>
          <w:szCs w:val="24"/>
        </w:rPr>
      </w:pPr>
      <w:r w:rsidRPr="00E31FE9">
        <w:rPr>
          <w:b/>
          <w:i/>
          <w:color w:val="FF0000"/>
          <w:sz w:val="24"/>
          <w:szCs w:val="24"/>
        </w:rPr>
        <w:br/>
      </w:r>
    </w:p>
    <w:p w14:paraId="7AEF82B8" w14:textId="617E4E21" w:rsidR="00CB3E11" w:rsidRPr="0077724F" w:rsidRDefault="00CB3E11" w:rsidP="00CB3E11">
      <w:pPr>
        <w:pStyle w:val="ListParagraph"/>
        <w:spacing w:after="0" w:line="240" w:lineRule="auto"/>
        <w:ind w:left="360"/>
        <w:jc w:val="center"/>
        <w:rPr>
          <w:b/>
          <w:i/>
          <w:sz w:val="24"/>
          <w:szCs w:val="24"/>
        </w:rPr>
      </w:pPr>
      <w:r w:rsidRPr="0077724F">
        <w:rPr>
          <w:b/>
          <w:i/>
          <w:color w:val="FF0000"/>
          <w:sz w:val="24"/>
          <w:szCs w:val="24"/>
        </w:rPr>
        <w:t xml:space="preserve">Līguma </w:t>
      </w:r>
      <w:r w:rsidRPr="0077724F">
        <w:rPr>
          <w:b/>
          <w:i/>
          <w:sz w:val="24"/>
          <w:szCs w:val="24"/>
        </w:rPr>
        <w:t>grozījumi</w:t>
      </w:r>
    </w:p>
    <w:p w14:paraId="5176B55E" w14:textId="77777777" w:rsidR="00CB3E11" w:rsidRPr="0077724F" w:rsidRDefault="00CB3E11" w:rsidP="00CB3E11">
      <w:pPr>
        <w:pStyle w:val="ListParagraph"/>
        <w:tabs>
          <w:tab w:val="left" w:pos="567"/>
        </w:tabs>
        <w:ind w:left="0"/>
        <w:jc w:val="both"/>
        <w:rPr>
          <w:i/>
          <w:color w:val="000000"/>
          <w:sz w:val="24"/>
          <w:szCs w:val="24"/>
        </w:rPr>
      </w:pPr>
    </w:p>
    <w:p w14:paraId="5218BFF9" w14:textId="77777777" w:rsidR="00CB3E11" w:rsidRPr="0077724F" w:rsidRDefault="00CB3E11" w:rsidP="00CB3E11">
      <w:pPr>
        <w:pStyle w:val="ListParagraph"/>
        <w:numPr>
          <w:ilvl w:val="1"/>
          <w:numId w:val="18"/>
        </w:numPr>
        <w:spacing w:after="0" w:line="240" w:lineRule="auto"/>
        <w:jc w:val="both"/>
        <w:rPr>
          <w:i/>
          <w:sz w:val="24"/>
          <w:szCs w:val="24"/>
        </w:rPr>
      </w:pPr>
      <w:bookmarkStart w:id="1" w:name="_Ref425164576"/>
      <w:r w:rsidRPr="0077724F">
        <w:rPr>
          <w:i/>
          <w:sz w:val="24"/>
          <w:szCs w:val="24"/>
        </w:rPr>
        <w:t xml:space="preserve">Ierosinot </w:t>
      </w:r>
      <w:r w:rsidRPr="0077724F">
        <w:rPr>
          <w:i/>
          <w:color w:val="FF0000"/>
          <w:sz w:val="24"/>
          <w:szCs w:val="24"/>
        </w:rPr>
        <w:t>Līguma</w:t>
      </w:r>
      <w:r w:rsidRPr="0077724F">
        <w:rPr>
          <w:i/>
          <w:sz w:val="24"/>
          <w:szCs w:val="24"/>
        </w:rPr>
        <w:t xml:space="preserve"> grozījumus, Finansējuma saņēmējs vienlaikus ar grozījumu priekšlikumu iesniedz Sadarbības iestādei:</w:t>
      </w:r>
      <w:bookmarkEnd w:id="1"/>
    </w:p>
    <w:p w14:paraId="1A8991B8" w14:textId="77777777" w:rsidR="00CB3E11" w:rsidRPr="0077724F" w:rsidRDefault="00CB3E11" w:rsidP="00E31FE9">
      <w:pPr>
        <w:pStyle w:val="ListParagraph"/>
        <w:spacing w:after="0" w:line="240" w:lineRule="auto"/>
        <w:ind w:left="567"/>
        <w:jc w:val="both"/>
        <w:rPr>
          <w:i/>
          <w:sz w:val="24"/>
          <w:szCs w:val="24"/>
        </w:rPr>
      </w:pPr>
      <w:r w:rsidRPr="0077724F">
        <w:rPr>
          <w:i/>
          <w:sz w:val="24"/>
          <w:szCs w:val="24"/>
        </w:rPr>
        <w:t xml:space="preserve">1.1.aizpildītu “Izziņu par </w:t>
      </w:r>
      <w:r w:rsidRPr="0077724F">
        <w:rPr>
          <w:i/>
          <w:color w:val="FF0000"/>
          <w:sz w:val="24"/>
          <w:szCs w:val="24"/>
        </w:rPr>
        <w:t>Līguma</w:t>
      </w:r>
      <w:r w:rsidRPr="0077724F">
        <w:rPr>
          <w:i/>
          <w:sz w:val="24"/>
          <w:szCs w:val="24"/>
        </w:rPr>
        <w:t xml:space="preserve"> grozījumiem”;</w:t>
      </w:r>
    </w:p>
    <w:p w14:paraId="2AA806A7" w14:textId="77777777" w:rsidR="00CB3E11" w:rsidRPr="0077724F" w:rsidRDefault="00CB3E11" w:rsidP="00E31FE9">
      <w:pPr>
        <w:pStyle w:val="ListParagraph"/>
        <w:spacing w:after="0" w:line="240" w:lineRule="auto"/>
        <w:ind w:left="567"/>
        <w:jc w:val="both"/>
        <w:rPr>
          <w:i/>
          <w:sz w:val="24"/>
          <w:szCs w:val="24"/>
        </w:rPr>
      </w:pPr>
      <w:r w:rsidRPr="0077724F">
        <w:rPr>
          <w:i/>
          <w:sz w:val="24"/>
          <w:szCs w:val="24"/>
        </w:rPr>
        <w:t xml:space="preserve">1.2.koriģētas Projekta iesnieguma veidlapas attiecīgās sadaļas, Projekta iesnieguma pielikumus, Projekta izmaksu tāmi un citus dokumentus, kas ir neatņemama </w:t>
      </w:r>
      <w:r w:rsidRPr="0077724F">
        <w:rPr>
          <w:i/>
          <w:color w:val="FF0000"/>
          <w:sz w:val="24"/>
          <w:szCs w:val="24"/>
        </w:rPr>
        <w:t>Līguma</w:t>
      </w:r>
      <w:r w:rsidRPr="0077724F">
        <w:rPr>
          <w:i/>
          <w:sz w:val="24"/>
          <w:szCs w:val="24"/>
        </w:rPr>
        <w:t xml:space="preserve"> sastāvdaļa, ja ierosinātie </w:t>
      </w:r>
      <w:r w:rsidRPr="0077724F">
        <w:rPr>
          <w:i/>
          <w:color w:val="FF0000"/>
          <w:sz w:val="24"/>
          <w:szCs w:val="24"/>
        </w:rPr>
        <w:t xml:space="preserve">Līguma </w:t>
      </w:r>
      <w:r w:rsidRPr="0077724F">
        <w:rPr>
          <w:i/>
          <w:sz w:val="24"/>
          <w:szCs w:val="24"/>
        </w:rPr>
        <w:t>grozījumi rada izmaiņas šo dokumentu saturā;</w:t>
      </w:r>
    </w:p>
    <w:p w14:paraId="0B140119" w14:textId="77777777" w:rsidR="00CB3E11" w:rsidRPr="0077724F" w:rsidRDefault="00CB3E11" w:rsidP="00E31FE9">
      <w:pPr>
        <w:pStyle w:val="ListParagraph"/>
        <w:spacing w:after="0" w:line="240" w:lineRule="auto"/>
        <w:ind w:left="567"/>
        <w:jc w:val="both"/>
        <w:rPr>
          <w:i/>
          <w:sz w:val="24"/>
          <w:szCs w:val="24"/>
        </w:rPr>
      </w:pPr>
      <w:r w:rsidRPr="0077724F">
        <w:rPr>
          <w:i/>
          <w:sz w:val="24"/>
          <w:szCs w:val="24"/>
        </w:rPr>
        <w:t>1.3.dokumentus, kas pamato grozījumu nepieciešamību.</w:t>
      </w:r>
    </w:p>
    <w:p w14:paraId="197ADA0D" w14:textId="77777777" w:rsidR="00CB3E11" w:rsidRPr="0077724F" w:rsidRDefault="00CB3E11" w:rsidP="00CB3E11">
      <w:pPr>
        <w:pStyle w:val="ListParagraph"/>
        <w:numPr>
          <w:ilvl w:val="1"/>
          <w:numId w:val="18"/>
        </w:numPr>
        <w:spacing w:after="0" w:line="240" w:lineRule="auto"/>
        <w:jc w:val="both"/>
        <w:rPr>
          <w:i/>
          <w:sz w:val="24"/>
          <w:szCs w:val="24"/>
        </w:rPr>
      </w:pPr>
      <w:r w:rsidRPr="0077724F">
        <w:rPr>
          <w:i/>
          <w:sz w:val="24"/>
          <w:szCs w:val="24"/>
        </w:rPr>
        <w:t>Sadarbības iestāde 20 (divdesmit) darba dienu laikā no Finansējuma saņēmēja ierosināto grozījumu priekšlikuma saņemšanas veic to izvērtēšanu un, ja nepieciešams, veic grozījumu saskaņošanu ar Atbildīgo iestādi.</w:t>
      </w:r>
    </w:p>
    <w:p w14:paraId="190BE085" w14:textId="77777777" w:rsidR="00CB3E11" w:rsidRPr="0077724F" w:rsidRDefault="00CB3E11" w:rsidP="00CB3E11">
      <w:pPr>
        <w:pStyle w:val="ListParagraph"/>
        <w:numPr>
          <w:ilvl w:val="1"/>
          <w:numId w:val="18"/>
        </w:numPr>
        <w:spacing w:after="0" w:line="240" w:lineRule="auto"/>
        <w:jc w:val="both"/>
        <w:rPr>
          <w:i/>
          <w:sz w:val="24"/>
          <w:szCs w:val="24"/>
        </w:rPr>
      </w:pPr>
      <w:r w:rsidRPr="0077724F">
        <w:rPr>
          <w:i/>
          <w:sz w:val="24"/>
          <w:szCs w:val="24"/>
        </w:rPr>
        <w:t xml:space="preserve">Ja Sadarbības iestāde Finansējuma saņēmēja ierosinātos </w:t>
      </w:r>
      <w:r w:rsidRPr="0077724F">
        <w:rPr>
          <w:i/>
          <w:color w:val="FF0000"/>
          <w:sz w:val="24"/>
          <w:szCs w:val="24"/>
        </w:rPr>
        <w:t>Līguma</w:t>
      </w:r>
      <w:r w:rsidRPr="0077724F">
        <w:rPr>
          <w:i/>
          <w:sz w:val="24"/>
          <w:szCs w:val="24"/>
        </w:rPr>
        <w:t xml:space="preserve"> grozījumus noraida, tā informē Finansējuma saņēmēju par noraidīšanas pamatojumu, kā arī, ja nepieciešams, norāda informāciju par nepieciešamajiem precizējumiem un grozījumu atkārtotas </w:t>
      </w:r>
      <w:r w:rsidRPr="0077724F">
        <w:rPr>
          <w:i/>
          <w:sz w:val="24"/>
          <w:szCs w:val="24"/>
        </w:rPr>
        <w:lastRenderedPageBreak/>
        <w:t>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mērķa projektu iesniegumu</w:t>
      </w:r>
      <w:r w:rsidRPr="0077724F">
        <w:rPr>
          <w:i/>
          <w:color w:val="FF0000"/>
          <w:sz w:val="24"/>
          <w:szCs w:val="24"/>
        </w:rPr>
        <w:t xml:space="preserve"> </w:t>
      </w:r>
      <w:r w:rsidRPr="0077724F">
        <w:rPr>
          <w:i/>
          <w:sz w:val="24"/>
          <w:szCs w:val="24"/>
        </w:rPr>
        <w:t xml:space="preserve">vērtēšanas kritērijiem, ir pretrunā normatīvajiem aktiem, </w:t>
      </w:r>
      <w:r w:rsidRPr="0077724F">
        <w:rPr>
          <w:i/>
          <w:color w:val="FF0000"/>
          <w:sz w:val="24"/>
          <w:szCs w:val="24"/>
        </w:rPr>
        <w:t>Līguma</w:t>
      </w:r>
      <w:r w:rsidRPr="0077724F">
        <w:rPr>
          <w:i/>
          <w:sz w:val="24"/>
          <w:szCs w:val="24"/>
        </w:rPr>
        <w:t xml:space="preserve"> nosacījumiem, kā arī citos gadījumos.</w:t>
      </w:r>
    </w:p>
    <w:p w14:paraId="77B0FFD7" w14:textId="77777777" w:rsidR="00CB3E11" w:rsidRPr="0077724F" w:rsidRDefault="00CB3E11" w:rsidP="00CB3E11">
      <w:pPr>
        <w:pStyle w:val="ListParagraph"/>
        <w:numPr>
          <w:ilvl w:val="1"/>
          <w:numId w:val="18"/>
        </w:numPr>
        <w:spacing w:after="0" w:line="240" w:lineRule="auto"/>
        <w:jc w:val="both"/>
        <w:rPr>
          <w:i/>
          <w:sz w:val="24"/>
          <w:szCs w:val="24"/>
        </w:rPr>
      </w:pPr>
      <w:bookmarkStart w:id="2" w:name="_Ref425169274"/>
      <w:r w:rsidRPr="0077724F">
        <w:rPr>
          <w:i/>
          <w:sz w:val="24"/>
          <w:szCs w:val="24"/>
        </w:rPr>
        <w:t xml:space="preserve">Ja Sadarbības iestāde Finansējuma saņēmēja ierosinātos grozījumus apstiprina, tā </w:t>
      </w:r>
      <w:proofErr w:type="spellStart"/>
      <w:r w:rsidRPr="0077724F">
        <w:rPr>
          <w:i/>
          <w:sz w:val="24"/>
          <w:szCs w:val="24"/>
        </w:rPr>
        <w:t>nosūta</w:t>
      </w:r>
      <w:proofErr w:type="spellEnd"/>
      <w:r w:rsidRPr="0077724F">
        <w:rPr>
          <w:i/>
          <w:sz w:val="24"/>
          <w:szCs w:val="24"/>
        </w:rPr>
        <w:t xml:space="preserve"> Finansējuma saņēmējam Sadarbības iestādes parakstītus </w:t>
      </w:r>
      <w:r w:rsidRPr="0077724F">
        <w:rPr>
          <w:i/>
          <w:color w:val="FF0000"/>
          <w:sz w:val="24"/>
          <w:szCs w:val="24"/>
        </w:rPr>
        <w:t>Līguma</w:t>
      </w:r>
      <w:r w:rsidRPr="0077724F">
        <w:rPr>
          <w:i/>
          <w:sz w:val="24"/>
          <w:szCs w:val="24"/>
        </w:rPr>
        <w:t xml:space="preserve"> grozījumus. Finansējuma saņēmējs pēc </w:t>
      </w:r>
      <w:r w:rsidRPr="0077724F">
        <w:rPr>
          <w:i/>
          <w:color w:val="FF0000"/>
          <w:sz w:val="24"/>
          <w:szCs w:val="24"/>
        </w:rPr>
        <w:t>Līguma</w:t>
      </w:r>
      <w:r w:rsidRPr="0077724F">
        <w:rPr>
          <w:i/>
          <w:sz w:val="24"/>
          <w:szCs w:val="24"/>
        </w:rPr>
        <w:t xml:space="preserve"> grozījumu parakstīšanas </w:t>
      </w:r>
      <w:proofErr w:type="spellStart"/>
      <w:r w:rsidRPr="0077724F">
        <w:rPr>
          <w:i/>
          <w:sz w:val="24"/>
          <w:szCs w:val="24"/>
        </w:rPr>
        <w:t>nosūta</w:t>
      </w:r>
      <w:proofErr w:type="spellEnd"/>
      <w:r w:rsidRPr="0077724F">
        <w:rPr>
          <w:i/>
          <w:sz w:val="24"/>
          <w:szCs w:val="24"/>
        </w:rPr>
        <w:t xml:space="preserve"> Sadarbības iestādei tās eksemplāru. </w:t>
      </w:r>
      <w:bookmarkEnd w:id="2"/>
    </w:p>
    <w:p w14:paraId="5C53DDC7" w14:textId="5344A5BF" w:rsidR="00CB3E11" w:rsidRPr="0077724F" w:rsidRDefault="00CB3E11" w:rsidP="00CB3E11">
      <w:pPr>
        <w:pStyle w:val="ListParagraph"/>
        <w:numPr>
          <w:ilvl w:val="1"/>
          <w:numId w:val="18"/>
        </w:numPr>
        <w:spacing w:after="0" w:line="240" w:lineRule="auto"/>
        <w:jc w:val="both"/>
        <w:rPr>
          <w:i/>
          <w:sz w:val="24"/>
          <w:szCs w:val="24"/>
        </w:rPr>
      </w:pPr>
      <w:r w:rsidRPr="0077724F">
        <w:rPr>
          <w:i/>
          <w:color w:val="FF0000"/>
          <w:sz w:val="24"/>
          <w:szCs w:val="24"/>
        </w:rPr>
        <w:t xml:space="preserve">Līguma </w:t>
      </w:r>
      <w:r w:rsidRPr="0077724F">
        <w:rPr>
          <w:i/>
          <w:sz w:val="24"/>
          <w:szCs w:val="24"/>
        </w:rPr>
        <w:t xml:space="preserve">grozījumi par Cita publiskā finansējuma pārdalīšanu uz </w:t>
      </w:r>
      <w:r w:rsidR="00872E88">
        <w:rPr>
          <w:i/>
          <w:sz w:val="24"/>
          <w:szCs w:val="24"/>
        </w:rPr>
        <w:t>ES fondu</w:t>
      </w:r>
      <w:r w:rsidR="006332C0">
        <w:rPr>
          <w:i/>
          <w:sz w:val="24"/>
          <w:szCs w:val="24"/>
        </w:rPr>
        <w:t xml:space="preserve"> </w:t>
      </w:r>
      <w:r w:rsidRPr="0077724F">
        <w:rPr>
          <w:i/>
          <w:sz w:val="24"/>
          <w:szCs w:val="24"/>
        </w:rPr>
        <w:t xml:space="preserve">finansējumu tiek veikti </w:t>
      </w:r>
      <w:r w:rsidRPr="0077724F">
        <w:rPr>
          <w:i/>
          <w:color w:val="FF0000"/>
          <w:sz w:val="24"/>
          <w:szCs w:val="24"/>
        </w:rPr>
        <w:t>šajā sadaļā</w:t>
      </w:r>
      <w:r w:rsidRPr="0077724F">
        <w:rPr>
          <w:i/>
          <w:sz w:val="24"/>
          <w:szCs w:val="24"/>
        </w:rPr>
        <w:t xml:space="preserve"> noteiktajā kārtībā pēc </w:t>
      </w:r>
      <w:r w:rsidR="005E51BC">
        <w:rPr>
          <w:i/>
          <w:sz w:val="24"/>
          <w:szCs w:val="24"/>
        </w:rPr>
        <w:t xml:space="preserve">Eiropas Komisijas lēmuma par snieguma ietvara izpildi un atbildīgās iestādes ierosinājuma palielināt ES fondu līdzfinansējuma likmi. </w:t>
      </w:r>
      <w:r w:rsidRPr="0077724F">
        <w:rPr>
          <w:i/>
          <w:sz w:val="24"/>
          <w:szCs w:val="24"/>
        </w:rPr>
        <w:t>Atbildīgās iestādes attiecīgā lēmuma pieņemšanas par tiesībām izmantot snieguma ietvara rezervi un ar nosacījumu, ka projekts līdz šajā punktā minēto grozījumu spēkā stāšanās brīdim nav pabeigts.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7BC55626" w14:textId="77777777" w:rsidR="00CB3E11" w:rsidRPr="00935C0E" w:rsidRDefault="00CB3E11" w:rsidP="00CF4E3D">
      <w:pPr>
        <w:rPr>
          <w:rFonts w:ascii="Times New Roman" w:hAnsi="Times New Roman" w:cs="Times New Roman"/>
          <w:sz w:val="24"/>
          <w:szCs w:val="24"/>
        </w:rPr>
      </w:pPr>
    </w:p>
    <w:sectPr w:rsidR="00CB3E11" w:rsidRPr="00935C0E" w:rsidSect="00E31FE9">
      <w:footerReference w:type="default" r:id="rId9"/>
      <w:pgSz w:w="11906" w:h="16838"/>
      <w:pgMar w:top="851" w:right="1133"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7D32" w14:textId="77777777" w:rsidR="00497486" w:rsidRDefault="00497486" w:rsidP="003046AF">
      <w:pPr>
        <w:spacing w:after="0" w:line="240" w:lineRule="auto"/>
      </w:pPr>
      <w:r>
        <w:separator/>
      </w:r>
    </w:p>
  </w:endnote>
  <w:endnote w:type="continuationSeparator" w:id="0">
    <w:p w14:paraId="1CCF49F9" w14:textId="77777777" w:rsidR="00497486" w:rsidRDefault="00497486" w:rsidP="0030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481603"/>
      <w:docPartObj>
        <w:docPartGallery w:val="Page Numbers (Bottom of Page)"/>
        <w:docPartUnique/>
      </w:docPartObj>
    </w:sdtPr>
    <w:sdtEndPr>
      <w:rPr>
        <w:noProof/>
      </w:rPr>
    </w:sdtEndPr>
    <w:sdtContent>
      <w:p w14:paraId="1CBBD585" w14:textId="74259D3C" w:rsidR="00D934A0" w:rsidRDefault="00D934A0">
        <w:pPr>
          <w:pStyle w:val="Footer"/>
          <w:jc w:val="center"/>
        </w:pPr>
        <w:r>
          <w:fldChar w:fldCharType="begin"/>
        </w:r>
        <w:r>
          <w:instrText xml:space="preserve"> PAGE   \* MERGEFORMAT </w:instrText>
        </w:r>
        <w:r>
          <w:fldChar w:fldCharType="separate"/>
        </w:r>
        <w:r w:rsidR="007C1088">
          <w:rPr>
            <w:noProof/>
          </w:rPr>
          <w:t>6</w:t>
        </w:r>
        <w:r>
          <w:rPr>
            <w:noProof/>
          </w:rPr>
          <w:fldChar w:fldCharType="end"/>
        </w:r>
      </w:p>
    </w:sdtContent>
  </w:sdt>
  <w:p w14:paraId="38BD3FC8" w14:textId="77777777" w:rsidR="00D934A0" w:rsidRDefault="00D93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A7F84" w14:textId="77777777" w:rsidR="00497486" w:rsidRDefault="00497486" w:rsidP="003046AF">
      <w:pPr>
        <w:spacing w:after="0" w:line="240" w:lineRule="auto"/>
      </w:pPr>
      <w:r>
        <w:separator/>
      </w:r>
    </w:p>
  </w:footnote>
  <w:footnote w:type="continuationSeparator" w:id="0">
    <w:p w14:paraId="686FD825" w14:textId="77777777" w:rsidR="00497486" w:rsidRDefault="00497486" w:rsidP="003046AF">
      <w:pPr>
        <w:spacing w:after="0" w:line="240" w:lineRule="auto"/>
      </w:pPr>
      <w:r>
        <w:continuationSeparator/>
      </w:r>
    </w:p>
  </w:footnote>
  <w:footnote w:id="1">
    <w:p w14:paraId="0C97044E" w14:textId="42D7ECDC" w:rsidR="000A17F3" w:rsidRPr="00A20C7E" w:rsidRDefault="006374A7" w:rsidP="00AA5825">
      <w:pPr>
        <w:pStyle w:val="FootnoteText"/>
        <w:jc w:val="both"/>
        <w:rPr>
          <w:rFonts w:ascii="Times New Roman" w:hAnsi="Times New Roman" w:cs="Times New Roman"/>
        </w:rPr>
      </w:pPr>
      <w:r w:rsidRPr="00A20C7E">
        <w:rPr>
          <w:rStyle w:val="FootnoteReference"/>
          <w:rFonts w:ascii="Times New Roman" w:hAnsi="Times New Roman" w:cs="Times New Roman"/>
        </w:rPr>
        <w:footnoteRef/>
      </w:r>
      <w:r w:rsidRPr="00A20C7E">
        <w:rPr>
          <w:rFonts w:ascii="Times New Roman" w:hAnsi="Times New Roman" w:cs="Times New Roman"/>
        </w:rPr>
        <w:t xml:space="preserve"> 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un Kohēzijas fondu un atceļ padomes regulu (EK) Nr.1083/2006</w:t>
      </w:r>
      <w:r w:rsidR="00892BFE" w:rsidRPr="00A20C7E">
        <w:rPr>
          <w:rFonts w:ascii="Times New Roman" w:hAnsi="Times New Roman" w:cs="Times New Roman"/>
        </w:rPr>
        <w:t xml:space="preserve"> - </w:t>
      </w:r>
      <w:hyperlink r:id="rId1" w:history="1">
        <w:r w:rsidR="000A17F3" w:rsidRPr="00B77A5E">
          <w:rPr>
            <w:rStyle w:val="Hyperlink"/>
            <w:rFonts w:ascii="Times New Roman" w:hAnsi="Times New Roman" w:cs="Times New Roman"/>
          </w:rPr>
          <w:t>http://eur-lex.europa.eu/legal-content/LV/TXT/?qid=1421583712511&amp;uri=CELEX:32013R1303</w:t>
        </w:r>
      </w:hyperlink>
    </w:p>
  </w:footnote>
  <w:footnote w:id="2">
    <w:p w14:paraId="4D0DA627" w14:textId="338190A6" w:rsidR="00054E45" w:rsidRDefault="00054E45" w:rsidP="00054E45">
      <w:pPr>
        <w:pStyle w:val="FootnoteText"/>
        <w:jc w:val="both"/>
        <w:rPr>
          <w:rFonts w:ascii="Times New Roman" w:hAnsi="Times New Roman" w:cs="Times New Roman"/>
        </w:rPr>
      </w:pPr>
      <w:r w:rsidRPr="00A20C7E">
        <w:rPr>
          <w:rStyle w:val="FootnoteReference"/>
          <w:rFonts w:ascii="Times New Roman" w:hAnsi="Times New Roman" w:cs="Times New Roman"/>
        </w:rPr>
        <w:footnoteRef/>
      </w:r>
      <w:r w:rsidRPr="00A20C7E">
        <w:rPr>
          <w:rFonts w:ascii="Times New Roman" w:hAnsi="Times New Roman" w:cs="Times New Roman"/>
        </w:rPr>
        <w:t xml:space="preserve"> </w:t>
      </w:r>
      <w:r w:rsidR="00A20C7E" w:rsidRPr="00A20C7E">
        <w:rPr>
          <w:rFonts w:ascii="Times New Roman" w:hAnsi="Times New Roman" w:cs="Times New Roman"/>
        </w:rPr>
        <w:t>Konkrēts rezerves apjoms pa prioritārajiem virzieniem un fondiem ir noteikts FM vadlīniju “</w:t>
      </w:r>
      <w:r w:rsidRPr="00A20C7E">
        <w:rPr>
          <w:rFonts w:ascii="Times New Roman" w:hAnsi="Times New Roman" w:cs="Times New Roman"/>
        </w:rPr>
        <w:t>Vadlīnijas Ministru kabineta noteikumu par specifiskā atbalsta mērķa īstenošanu izstrādei Nr.2.2.</w:t>
      </w:r>
      <w:r w:rsidR="00A20C7E" w:rsidRPr="00A20C7E">
        <w:rPr>
          <w:rFonts w:ascii="Times New Roman" w:hAnsi="Times New Roman" w:cs="Times New Roman"/>
        </w:rPr>
        <w:t>” pielikumā</w:t>
      </w:r>
      <w:r w:rsidRPr="00A20C7E">
        <w:rPr>
          <w:rFonts w:ascii="Times New Roman" w:hAnsi="Times New Roman" w:cs="Times New Roman"/>
        </w:rPr>
        <w:t xml:space="preserve"> - </w:t>
      </w:r>
      <w:hyperlink r:id="rId2" w:history="1">
        <w:r w:rsidR="000A17F3" w:rsidRPr="00B77A5E">
          <w:rPr>
            <w:rStyle w:val="Hyperlink"/>
            <w:rFonts w:ascii="Times New Roman" w:hAnsi="Times New Roman" w:cs="Times New Roman"/>
          </w:rPr>
          <w:t>http://www.esfondi.lv/vadlinijas--skaidrojumi</w:t>
        </w:r>
      </w:hyperlink>
    </w:p>
    <w:p w14:paraId="6CBC0FD2" w14:textId="77777777" w:rsidR="000A17F3" w:rsidRPr="00A20C7E" w:rsidRDefault="000A17F3" w:rsidP="00054E45">
      <w:pPr>
        <w:pStyle w:val="FootnoteText"/>
        <w:jc w:val="both"/>
        <w:rPr>
          <w:rFonts w:ascii="Times New Roman" w:hAnsi="Times New Roman" w:cs="Times New Roman"/>
        </w:rPr>
      </w:pPr>
    </w:p>
  </w:footnote>
  <w:footnote w:id="3">
    <w:p w14:paraId="1EAAD386" w14:textId="27E1404D" w:rsidR="00AA5825" w:rsidRDefault="00AA5825" w:rsidP="000F3B20">
      <w:pPr>
        <w:pStyle w:val="FootnoteText"/>
        <w:jc w:val="both"/>
        <w:rPr>
          <w:rFonts w:ascii="Times New Roman" w:hAnsi="Times New Roman" w:cs="Times New Roman"/>
        </w:rPr>
      </w:pPr>
      <w:r w:rsidRPr="00A20C7E">
        <w:rPr>
          <w:rStyle w:val="FootnoteReference"/>
          <w:rFonts w:ascii="Times New Roman" w:hAnsi="Times New Roman" w:cs="Times New Roman"/>
        </w:rPr>
        <w:footnoteRef/>
      </w:r>
      <w:r w:rsidRPr="00A20C7E">
        <w:rPr>
          <w:rFonts w:ascii="Times New Roman" w:hAnsi="Times New Roman" w:cs="Times New Roman"/>
        </w:rPr>
        <w:t xml:space="preserve"> </w:t>
      </w:r>
      <w:r w:rsidRPr="00A20C7E">
        <w:rPr>
          <w:rFonts w:ascii="Times New Roman" w:hAnsi="Times New Roman" w:cs="Times New Roman"/>
        </w:rPr>
        <w:t>Atbilstoši Regulai Nr.1303/2013</w:t>
      </w:r>
      <w:r w:rsidR="00486C6E" w:rsidRPr="00A20C7E">
        <w:rPr>
          <w:rFonts w:ascii="Times New Roman" w:hAnsi="Times New Roman" w:cs="Times New Roman"/>
        </w:rPr>
        <w:t xml:space="preserve">, </w:t>
      </w:r>
      <w:r w:rsidRPr="00A20C7E">
        <w:rPr>
          <w:rFonts w:ascii="Times New Roman" w:hAnsi="Times New Roman" w:cs="Times New Roman"/>
        </w:rPr>
        <w:t>Eiropas Komisijas vadlīnijām par snieguma ietvaru un rezervi 20147. – 2020.gada plānošanas periodā</w:t>
      </w:r>
      <w:r w:rsidR="00486C6E" w:rsidRPr="00A20C7E">
        <w:rPr>
          <w:rFonts w:ascii="Times New Roman" w:hAnsi="Times New Roman" w:cs="Times New Roman"/>
        </w:rPr>
        <w:t>(</w:t>
      </w:r>
      <w:hyperlink r:id="rId3" w:history="1">
        <w:r w:rsidRPr="00A20C7E">
          <w:rPr>
            <w:rStyle w:val="Hyperlink"/>
            <w:rFonts w:ascii="Times New Roman" w:hAnsi="Times New Roman" w:cs="Times New Roman"/>
          </w:rPr>
          <w:t>http://ec.europa.eu/regional_policy/sources/docgener/evaluation/pdf/guidance_performance_framework.pdf</w:t>
        </w:r>
      </w:hyperlink>
      <w:r w:rsidR="00486C6E" w:rsidRPr="00A20C7E">
        <w:rPr>
          <w:rFonts w:ascii="Times New Roman" w:hAnsi="Times New Roman" w:cs="Times New Roman"/>
        </w:rPr>
        <w:t xml:space="preserve">) </w:t>
      </w:r>
      <w:r w:rsidR="00486C6E" w:rsidRPr="000F3B20">
        <w:rPr>
          <w:rFonts w:ascii="Times New Roman" w:hAnsi="Times New Roman" w:cs="Times New Roman"/>
        </w:rPr>
        <w:t>un</w:t>
      </w:r>
      <w:r w:rsidR="00486C6E" w:rsidRPr="00A20C7E">
        <w:rPr>
          <w:rFonts w:ascii="Times New Roman" w:hAnsi="Times New Roman" w:cs="Times New Roman"/>
        </w:rPr>
        <w:t xml:space="preserve"> </w:t>
      </w:r>
      <w:r w:rsidR="000F3B20">
        <w:rPr>
          <w:rFonts w:ascii="Times New Roman" w:hAnsi="Times New Roman" w:cs="Times New Roman"/>
        </w:rPr>
        <w:t>Komisijas deleģētā regula</w:t>
      </w:r>
      <w:r w:rsidR="000F3B20" w:rsidRPr="000F3B20">
        <w:rPr>
          <w:rFonts w:ascii="Times New Roman" w:hAnsi="Times New Roman" w:cs="Times New Roman"/>
        </w:rPr>
        <w:t xml:space="preserve"> </w:t>
      </w:r>
      <w:r w:rsidR="000F3B20">
        <w:rPr>
          <w:rFonts w:ascii="Times New Roman" w:hAnsi="Times New Roman" w:cs="Times New Roman"/>
        </w:rPr>
        <w:t xml:space="preserve">(ES) Nr. 480/2014 (2014. gada 3. marts), </w:t>
      </w:r>
      <w:r w:rsidR="000F3B20" w:rsidRPr="000F3B20">
        <w:rPr>
          <w:rFonts w:ascii="Times New Roman" w:hAnsi="Times New Roman" w:cs="Times New Roman"/>
        </w:rPr>
        <w:t>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sidR="000F3B20">
        <w:rPr>
          <w:rFonts w:ascii="Times New Roman" w:hAnsi="Times New Roman" w:cs="Times New Roman"/>
        </w:rPr>
        <w:t xml:space="preserve"> (</w:t>
      </w:r>
      <w:hyperlink r:id="rId4" w:history="1">
        <w:r w:rsidR="000F3B20" w:rsidRPr="00A73F79">
          <w:rPr>
            <w:rStyle w:val="Hyperlink"/>
            <w:rFonts w:ascii="Times New Roman" w:hAnsi="Times New Roman" w:cs="Times New Roman"/>
          </w:rPr>
          <w:t>http://eur-lex.europa.eu/legal-content/LV/TXT/HTML/?uri=CELEX:32014R0480&amp;from=CS</w:t>
        </w:r>
      </w:hyperlink>
      <w:r w:rsidR="000F3B20">
        <w:rPr>
          <w:rFonts w:ascii="Times New Roman" w:hAnsi="Times New Roman" w:cs="Times New Roman"/>
        </w:rPr>
        <w:t>)</w:t>
      </w:r>
    </w:p>
    <w:p w14:paraId="49BE6220" w14:textId="77777777" w:rsidR="000F3B20" w:rsidRPr="00A20C7E" w:rsidRDefault="000F3B20" w:rsidP="000F3B20">
      <w:pPr>
        <w:pStyle w:val="FootnoteText"/>
        <w:rPr>
          <w:rFonts w:ascii="Times New Roman" w:hAnsi="Times New Roman" w:cs="Times New Roman"/>
        </w:rPr>
      </w:pPr>
    </w:p>
  </w:footnote>
  <w:footnote w:id="4">
    <w:p w14:paraId="79907F4B" w14:textId="4771359B" w:rsidR="00A23A44" w:rsidRPr="00D81345" w:rsidRDefault="006374A7" w:rsidP="00354CF9">
      <w:pPr>
        <w:pStyle w:val="FootnoteText"/>
        <w:jc w:val="both"/>
        <w:rPr>
          <w:rFonts w:ascii="Times New Roman" w:hAnsi="Times New Roman" w:cs="Times New Roman"/>
        </w:rPr>
      </w:pPr>
      <w:r w:rsidRPr="00A20C7E">
        <w:rPr>
          <w:rStyle w:val="FootnoteReference"/>
          <w:rFonts w:ascii="Times New Roman" w:hAnsi="Times New Roman" w:cs="Times New Roman"/>
        </w:rPr>
        <w:footnoteRef/>
      </w:r>
      <w:r w:rsidRPr="00A20C7E">
        <w:rPr>
          <w:rFonts w:ascii="Times New Roman" w:hAnsi="Times New Roman" w:cs="Times New Roman"/>
        </w:rPr>
        <w:t xml:space="preserve"> </w:t>
      </w:r>
      <w:r w:rsidRPr="00D81345">
        <w:rPr>
          <w:rFonts w:ascii="Times New Roman" w:hAnsi="Times New Roman" w:cs="Times New Roman"/>
          <w:b/>
        </w:rPr>
        <w:t>Projekts, kuram tiek veikti grozījumi</w:t>
      </w:r>
      <w:r w:rsidR="00A01CEE" w:rsidRPr="00D81345">
        <w:rPr>
          <w:rFonts w:ascii="Times New Roman" w:hAnsi="Times New Roman" w:cs="Times New Roman"/>
          <w:b/>
        </w:rPr>
        <w:t>,</w:t>
      </w:r>
      <w:r w:rsidRPr="00D81345">
        <w:rPr>
          <w:rFonts w:ascii="Times New Roman" w:hAnsi="Times New Roman" w:cs="Times New Roman"/>
          <w:b/>
        </w:rPr>
        <w:t xml:space="preserve"> nedrīkst būt pabeigts.</w:t>
      </w:r>
      <w:r w:rsidR="00A23A44" w:rsidRPr="00D81345">
        <w:rPr>
          <w:rFonts w:ascii="Times New Roman" w:hAnsi="Times New Roman" w:cs="Times New Roman"/>
          <w:b/>
        </w:rPr>
        <w:t xml:space="preserve"> </w:t>
      </w:r>
      <w:r w:rsidR="00A23A44" w:rsidRPr="00D81345">
        <w:rPr>
          <w:rFonts w:ascii="Times New Roman" w:hAnsi="Times New Roman" w:cs="Times New Roman"/>
        </w:rPr>
        <w:t>Atbilstoši Regulas 1303/2013 65.panta 6.punktam, darbības neatlasa finansēšanai no ES fondiem, ja tās ir pabeigtas pirms finansējuma saņēmējs ir iesniedzis pieteikumu, attiecīgi projekts nedrīkst būt pabeigts līdz grozījumu priekšlikuma iesniegšanai.</w:t>
      </w:r>
    </w:p>
  </w:footnote>
  <w:footnote w:id="5">
    <w:p w14:paraId="4B2E90FC" w14:textId="110B7F77" w:rsidR="006374A7" w:rsidRPr="00F71D41" w:rsidRDefault="006374A7" w:rsidP="00354CF9">
      <w:pPr>
        <w:pStyle w:val="FootnoteText"/>
        <w:jc w:val="both"/>
        <w:rPr>
          <w:rFonts w:ascii="Times New Roman" w:hAnsi="Times New Roman" w:cs="Times New Roman"/>
        </w:rPr>
      </w:pPr>
      <w:r w:rsidRPr="00F71D41">
        <w:rPr>
          <w:rStyle w:val="FootnoteReference"/>
          <w:rFonts w:ascii="Times New Roman" w:hAnsi="Times New Roman" w:cs="Times New Roman"/>
        </w:rPr>
        <w:footnoteRef/>
      </w:r>
      <w:r w:rsidRPr="00F71D41">
        <w:rPr>
          <w:rFonts w:ascii="Times New Roman" w:hAnsi="Times New Roman" w:cs="Times New Roman"/>
        </w:rPr>
        <w:t xml:space="preserve"> </w:t>
      </w:r>
      <w:r w:rsidRPr="00D81345">
        <w:rPr>
          <w:rFonts w:ascii="Times New Roman" w:hAnsi="Times New Roman" w:cs="Times New Roman"/>
          <w:b/>
        </w:rPr>
        <w:t>Projekts, kuram tiek veikti grozījumi</w:t>
      </w:r>
      <w:r w:rsidR="00A01CEE" w:rsidRPr="00D81345">
        <w:rPr>
          <w:rFonts w:ascii="Times New Roman" w:hAnsi="Times New Roman" w:cs="Times New Roman"/>
          <w:b/>
        </w:rPr>
        <w:t>,</w:t>
      </w:r>
      <w:r w:rsidRPr="00D81345">
        <w:rPr>
          <w:rFonts w:ascii="Times New Roman" w:hAnsi="Times New Roman" w:cs="Times New Roman"/>
          <w:b/>
        </w:rPr>
        <w:t xml:space="preserve"> nedrīkst būt pabeigts.</w:t>
      </w:r>
      <w:r w:rsidR="00A23A44" w:rsidRPr="00D81345">
        <w:rPr>
          <w:rFonts w:ascii="Times New Roman" w:hAnsi="Times New Roman" w:cs="Times New Roman"/>
        </w:rPr>
        <w:t xml:space="preserve"> Atbilstoši Regulas 1303/2013 65.panta 6.punktam, darbības neatlasa finansēšanai no ES fondiem, ja tās ir pabeigtas pirms finansējuma saņēmējs ir iesniedzis pieteikumu, attiecīgi projekts nedrīkst būt pabeigts lī</w:t>
      </w:r>
      <w:r w:rsidR="00A23A44" w:rsidRPr="00F71D41">
        <w:rPr>
          <w:rFonts w:ascii="Times New Roman" w:hAnsi="Times New Roman" w:cs="Times New Roman"/>
        </w:rPr>
        <w:t>dz grozījumu priekšlikuma iesniegšanai.</w:t>
      </w:r>
    </w:p>
  </w:footnote>
  <w:footnote w:id="6">
    <w:p w14:paraId="1870131B" w14:textId="77777777" w:rsidR="00CB3E11" w:rsidRPr="001623D1" w:rsidRDefault="00CB3E11" w:rsidP="00CB3E11">
      <w:pPr>
        <w:jc w:val="both"/>
        <w:rPr>
          <w:rFonts w:ascii="Times New Roman" w:hAnsi="Times New Roman" w:cs="Times New Roman"/>
          <w:sz w:val="20"/>
          <w:szCs w:val="20"/>
        </w:rPr>
      </w:pPr>
      <w:r w:rsidRPr="001623D1">
        <w:rPr>
          <w:rStyle w:val="FootnoteReference"/>
          <w:rFonts w:ascii="Times New Roman" w:hAnsi="Times New Roman" w:cs="Times New Roman"/>
          <w:sz w:val="20"/>
          <w:szCs w:val="20"/>
        </w:rPr>
        <w:footnoteRef/>
      </w:r>
      <w:r w:rsidRPr="001623D1">
        <w:rPr>
          <w:rFonts w:ascii="Times New Roman" w:hAnsi="Times New Roman" w:cs="Times New Roman"/>
          <w:sz w:val="20"/>
          <w:szCs w:val="20"/>
        </w:rPr>
        <w:t xml:space="preserve"> </w:t>
      </w:r>
      <w:r w:rsidRPr="00A20C7E">
        <w:rPr>
          <w:rFonts w:ascii="Times New Roman" w:hAnsi="Times New Roman" w:cs="Times New Roman"/>
          <w:sz w:val="20"/>
          <w:szCs w:val="20"/>
        </w:rPr>
        <w:t>Šeit norādīti tikai daļa no vispārīgiem līguma/vienošanās nosacījumiem par kārtību, kādā veicami līguma/vienošanās grozījumi, t.sk. grozījumi pēc lēmuma par snieguma rezerves piešķiršanu. Lai gūtu pilnīgāku izpratni, aicinām skatīt pilnu standarta līguma/vienošanās tekstu pie attiecīgā SAM nolikuma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1765"/>
    <w:multiLevelType w:val="hybridMultilevel"/>
    <w:tmpl w:val="70E2E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5775C95"/>
    <w:multiLevelType w:val="hybridMultilevel"/>
    <w:tmpl w:val="03A07896"/>
    <w:lvl w:ilvl="0" w:tplc="68E0D476">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nsid w:val="086D5C3F"/>
    <w:multiLevelType w:val="hybridMultilevel"/>
    <w:tmpl w:val="3C8E79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7D15300"/>
    <w:multiLevelType w:val="hybridMultilevel"/>
    <w:tmpl w:val="F6467428"/>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nsid w:val="17EF536E"/>
    <w:multiLevelType w:val="hybridMultilevel"/>
    <w:tmpl w:val="C06C79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CC31A3B"/>
    <w:multiLevelType w:val="hybridMultilevel"/>
    <w:tmpl w:val="315264DE"/>
    <w:lvl w:ilvl="0" w:tplc="68E0D47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nsid w:val="20D242A0"/>
    <w:multiLevelType w:val="hybridMultilevel"/>
    <w:tmpl w:val="66821914"/>
    <w:lvl w:ilvl="0" w:tplc="C5780F3A">
      <w:numFmt w:val="bullet"/>
      <w:lvlText w:val="-"/>
      <w:lvlJc w:val="left"/>
      <w:pPr>
        <w:ind w:left="720" w:hanging="360"/>
      </w:pPr>
      <w:rPr>
        <w:rFonts w:ascii="Times New Roman" w:eastAsiaTheme="minorEastAsia" w:hAnsi="Times New Roman" w:cs="Times New Roman"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21C0E2B"/>
    <w:multiLevelType w:val="hybridMultilevel"/>
    <w:tmpl w:val="56FECEBA"/>
    <w:lvl w:ilvl="0" w:tplc="68E0D476">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36E419F"/>
    <w:multiLevelType w:val="hybridMultilevel"/>
    <w:tmpl w:val="45DC5414"/>
    <w:lvl w:ilvl="0" w:tplc="C5780F3A">
      <w:numFmt w:val="bullet"/>
      <w:lvlText w:val="-"/>
      <w:lvlJc w:val="left"/>
      <w:pPr>
        <w:ind w:left="1146" w:hanging="360"/>
      </w:pPr>
      <w:rPr>
        <w:rFonts w:ascii="Times New Roman" w:eastAsiaTheme="minorEastAsia" w:hAnsi="Times New Roman" w:cs="Times New Roman"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
    <w:nsid w:val="3A907049"/>
    <w:multiLevelType w:val="hybridMultilevel"/>
    <w:tmpl w:val="C12E87B6"/>
    <w:lvl w:ilvl="0" w:tplc="68E0D476">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B780882"/>
    <w:multiLevelType w:val="hybridMultilevel"/>
    <w:tmpl w:val="3E3A9952"/>
    <w:lvl w:ilvl="0" w:tplc="7AD22A7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9972CAC"/>
    <w:multiLevelType w:val="hybridMultilevel"/>
    <w:tmpl w:val="9BAA42CC"/>
    <w:lvl w:ilvl="0" w:tplc="40E4F42C">
      <w:start w:val="1"/>
      <w:numFmt w:val="decimal"/>
      <w:lvlText w:val="(%1)"/>
      <w:lvlJc w:val="left"/>
      <w:pPr>
        <w:ind w:left="4122" w:hanging="360"/>
      </w:pPr>
      <w:rPr>
        <w:rFonts w:hint="default"/>
        <w:b w:val="0"/>
      </w:rPr>
    </w:lvl>
    <w:lvl w:ilvl="1" w:tplc="04260019">
      <w:start w:val="1"/>
      <w:numFmt w:val="lowerLetter"/>
      <w:lvlText w:val="%2."/>
      <w:lvlJc w:val="left"/>
      <w:pPr>
        <w:ind w:left="4842" w:hanging="360"/>
      </w:pPr>
    </w:lvl>
    <w:lvl w:ilvl="2" w:tplc="0426001B" w:tentative="1">
      <w:start w:val="1"/>
      <w:numFmt w:val="lowerRoman"/>
      <w:lvlText w:val="%3."/>
      <w:lvlJc w:val="right"/>
      <w:pPr>
        <w:ind w:left="5562" w:hanging="180"/>
      </w:pPr>
    </w:lvl>
    <w:lvl w:ilvl="3" w:tplc="0426000F" w:tentative="1">
      <w:start w:val="1"/>
      <w:numFmt w:val="decimal"/>
      <w:lvlText w:val="%4."/>
      <w:lvlJc w:val="left"/>
      <w:pPr>
        <w:ind w:left="6282" w:hanging="360"/>
      </w:pPr>
    </w:lvl>
    <w:lvl w:ilvl="4" w:tplc="04260019" w:tentative="1">
      <w:start w:val="1"/>
      <w:numFmt w:val="lowerLetter"/>
      <w:lvlText w:val="%5."/>
      <w:lvlJc w:val="left"/>
      <w:pPr>
        <w:ind w:left="7002" w:hanging="360"/>
      </w:pPr>
    </w:lvl>
    <w:lvl w:ilvl="5" w:tplc="0426001B" w:tentative="1">
      <w:start w:val="1"/>
      <w:numFmt w:val="lowerRoman"/>
      <w:lvlText w:val="%6."/>
      <w:lvlJc w:val="right"/>
      <w:pPr>
        <w:ind w:left="7722" w:hanging="180"/>
      </w:pPr>
    </w:lvl>
    <w:lvl w:ilvl="6" w:tplc="0426000F" w:tentative="1">
      <w:start w:val="1"/>
      <w:numFmt w:val="decimal"/>
      <w:lvlText w:val="%7."/>
      <w:lvlJc w:val="left"/>
      <w:pPr>
        <w:ind w:left="8442" w:hanging="360"/>
      </w:pPr>
    </w:lvl>
    <w:lvl w:ilvl="7" w:tplc="04260019" w:tentative="1">
      <w:start w:val="1"/>
      <w:numFmt w:val="lowerLetter"/>
      <w:lvlText w:val="%8."/>
      <w:lvlJc w:val="left"/>
      <w:pPr>
        <w:ind w:left="9162" w:hanging="360"/>
      </w:pPr>
    </w:lvl>
    <w:lvl w:ilvl="8" w:tplc="0426001B" w:tentative="1">
      <w:start w:val="1"/>
      <w:numFmt w:val="lowerRoman"/>
      <w:lvlText w:val="%9."/>
      <w:lvlJc w:val="right"/>
      <w:pPr>
        <w:ind w:left="9882" w:hanging="180"/>
      </w:pPr>
    </w:lvl>
  </w:abstractNum>
  <w:abstractNum w:abstractNumId="12">
    <w:nsid w:val="5F1614C7"/>
    <w:multiLevelType w:val="hybridMultilevel"/>
    <w:tmpl w:val="706C51F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nsid w:val="67631F1B"/>
    <w:multiLevelType w:val="hybridMultilevel"/>
    <w:tmpl w:val="ECE6CF70"/>
    <w:lvl w:ilvl="0" w:tplc="68E0D476">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9B055A6"/>
    <w:multiLevelType w:val="multilevel"/>
    <w:tmpl w:val="332A30C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862"/>
        </w:tabs>
        <w:ind w:left="574" w:hanging="432"/>
      </w:pPr>
      <w:rPr>
        <w:rFonts w:asciiTheme="minorHAnsi" w:eastAsiaTheme="minorHAnsi" w:hAnsiTheme="minorHAnsi" w:cstheme="minorBidi"/>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6AEA733F"/>
    <w:multiLevelType w:val="hybridMultilevel"/>
    <w:tmpl w:val="E342EE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E311245"/>
    <w:multiLevelType w:val="hybridMultilevel"/>
    <w:tmpl w:val="3C92159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74762B42"/>
    <w:multiLevelType w:val="hybridMultilevel"/>
    <w:tmpl w:val="84E261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5"/>
  </w:num>
  <w:num w:numId="4">
    <w:abstractNumId w:val="17"/>
  </w:num>
  <w:num w:numId="5">
    <w:abstractNumId w:val="11"/>
  </w:num>
  <w:num w:numId="6">
    <w:abstractNumId w:val="7"/>
  </w:num>
  <w:num w:numId="7">
    <w:abstractNumId w:val="9"/>
  </w:num>
  <w:num w:numId="8">
    <w:abstractNumId w:val="13"/>
  </w:num>
  <w:num w:numId="9">
    <w:abstractNumId w:val="2"/>
  </w:num>
  <w:num w:numId="10">
    <w:abstractNumId w:val="10"/>
  </w:num>
  <w:num w:numId="11">
    <w:abstractNumId w:val="1"/>
  </w:num>
  <w:num w:numId="12">
    <w:abstractNumId w:val="0"/>
  </w:num>
  <w:num w:numId="13">
    <w:abstractNumId w:val="6"/>
  </w:num>
  <w:num w:numId="14">
    <w:abstractNumId w:val="8"/>
  </w:num>
  <w:num w:numId="15">
    <w:abstractNumId w:val="3"/>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9A"/>
    <w:rsid w:val="000042EA"/>
    <w:rsid w:val="00054E45"/>
    <w:rsid w:val="000A17F3"/>
    <w:rsid w:val="000F3B20"/>
    <w:rsid w:val="00103676"/>
    <w:rsid w:val="00105C0F"/>
    <w:rsid w:val="001623D1"/>
    <w:rsid w:val="00171C77"/>
    <w:rsid w:val="001825C2"/>
    <w:rsid w:val="00194B8F"/>
    <w:rsid w:val="00206140"/>
    <w:rsid w:val="002201EB"/>
    <w:rsid w:val="00276F82"/>
    <w:rsid w:val="002B3526"/>
    <w:rsid w:val="002B76AE"/>
    <w:rsid w:val="002C1DEA"/>
    <w:rsid w:val="003046AF"/>
    <w:rsid w:val="00322ECC"/>
    <w:rsid w:val="00350186"/>
    <w:rsid w:val="00354CF9"/>
    <w:rsid w:val="00403B3F"/>
    <w:rsid w:val="00435447"/>
    <w:rsid w:val="004507DE"/>
    <w:rsid w:val="00486C6E"/>
    <w:rsid w:val="00497486"/>
    <w:rsid w:val="004A58E2"/>
    <w:rsid w:val="004D7BCF"/>
    <w:rsid w:val="0056442C"/>
    <w:rsid w:val="00585453"/>
    <w:rsid w:val="005B7B45"/>
    <w:rsid w:val="005D346F"/>
    <w:rsid w:val="005E1492"/>
    <w:rsid w:val="005E51BC"/>
    <w:rsid w:val="005F4A9F"/>
    <w:rsid w:val="00601625"/>
    <w:rsid w:val="006332C0"/>
    <w:rsid w:val="006374A7"/>
    <w:rsid w:val="0068529A"/>
    <w:rsid w:val="006862B6"/>
    <w:rsid w:val="006B4291"/>
    <w:rsid w:val="006D4B41"/>
    <w:rsid w:val="006D6ED7"/>
    <w:rsid w:val="006F1ED0"/>
    <w:rsid w:val="00707E5D"/>
    <w:rsid w:val="00761385"/>
    <w:rsid w:val="007C1088"/>
    <w:rsid w:val="007C4B64"/>
    <w:rsid w:val="0082112C"/>
    <w:rsid w:val="008605FA"/>
    <w:rsid w:val="0086347E"/>
    <w:rsid w:val="00872E88"/>
    <w:rsid w:val="008819DD"/>
    <w:rsid w:val="00892BFE"/>
    <w:rsid w:val="008F439A"/>
    <w:rsid w:val="0090625A"/>
    <w:rsid w:val="00933191"/>
    <w:rsid w:val="00935C0E"/>
    <w:rsid w:val="00942E7E"/>
    <w:rsid w:val="00962A4E"/>
    <w:rsid w:val="0097136C"/>
    <w:rsid w:val="009D2FF4"/>
    <w:rsid w:val="00A01CEE"/>
    <w:rsid w:val="00A125CA"/>
    <w:rsid w:val="00A20C7E"/>
    <w:rsid w:val="00A23A44"/>
    <w:rsid w:val="00A36E2B"/>
    <w:rsid w:val="00A50630"/>
    <w:rsid w:val="00A91D24"/>
    <w:rsid w:val="00AA5825"/>
    <w:rsid w:val="00AC3EDD"/>
    <w:rsid w:val="00AD0464"/>
    <w:rsid w:val="00AD5ADD"/>
    <w:rsid w:val="00AF33D3"/>
    <w:rsid w:val="00B0220A"/>
    <w:rsid w:val="00B24062"/>
    <w:rsid w:val="00B84E2D"/>
    <w:rsid w:val="00B97166"/>
    <w:rsid w:val="00C1323E"/>
    <w:rsid w:val="00C233A6"/>
    <w:rsid w:val="00C669F6"/>
    <w:rsid w:val="00CB3E11"/>
    <w:rsid w:val="00CF4E3D"/>
    <w:rsid w:val="00D1668B"/>
    <w:rsid w:val="00D361A4"/>
    <w:rsid w:val="00D576B6"/>
    <w:rsid w:val="00D61201"/>
    <w:rsid w:val="00D81345"/>
    <w:rsid w:val="00D934A0"/>
    <w:rsid w:val="00DB5C30"/>
    <w:rsid w:val="00DC101E"/>
    <w:rsid w:val="00DC2B51"/>
    <w:rsid w:val="00E31FE9"/>
    <w:rsid w:val="00E37EFB"/>
    <w:rsid w:val="00E72482"/>
    <w:rsid w:val="00E95544"/>
    <w:rsid w:val="00EF556D"/>
    <w:rsid w:val="00F0760D"/>
    <w:rsid w:val="00F71D41"/>
    <w:rsid w:val="00F9178C"/>
    <w:rsid w:val="00F96D4B"/>
    <w:rsid w:val="00FB2CE4"/>
    <w:rsid w:val="00FD03BD"/>
    <w:rsid w:val="00FF69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2346"/>
  <w15:chartTrackingRefBased/>
  <w15:docId w15:val="{EE8301AE-B61D-45A0-A188-36757D05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6AF"/>
    <w:pPr>
      <w:ind w:left="720"/>
      <w:contextualSpacing/>
    </w:pPr>
  </w:style>
  <w:style w:type="paragraph" w:styleId="FootnoteText">
    <w:name w:val="footnote text"/>
    <w:basedOn w:val="Normal"/>
    <w:link w:val="FootnoteTextChar"/>
    <w:uiPriority w:val="99"/>
    <w:semiHidden/>
    <w:unhideWhenUsed/>
    <w:rsid w:val="003046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46AF"/>
    <w:rPr>
      <w:sz w:val="20"/>
      <w:szCs w:val="20"/>
    </w:rPr>
  </w:style>
  <w:style w:type="character" w:styleId="FootnoteReference">
    <w:name w:val="footnote reference"/>
    <w:basedOn w:val="DefaultParagraphFont"/>
    <w:uiPriority w:val="99"/>
    <w:semiHidden/>
    <w:unhideWhenUsed/>
    <w:rsid w:val="003046AF"/>
    <w:rPr>
      <w:vertAlign w:val="superscript"/>
    </w:rPr>
  </w:style>
  <w:style w:type="character" w:styleId="CommentReference">
    <w:name w:val="annotation reference"/>
    <w:basedOn w:val="DefaultParagraphFont"/>
    <w:uiPriority w:val="99"/>
    <w:semiHidden/>
    <w:unhideWhenUsed/>
    <w:rsid w:val="00B84E2D"/>
    <w:rPr>
      <w:sz w:val="16"/>
      <w:szCs w:val="16"/>
    </w:rPr>
  </w:style>
  <w:style w:type="paragraph" w:styleId="CommentText">
    <w:name w:val="annotation text"/>
    <w:basedOn w:val="Normal"/>
    <w:link w:val="CommentTextChar"/>
    <w:uiPriority w:val="99"/>
    <w:semiHidden/>
    <w:unhideWhenUsed/>
    <w:rsid w:val="00B84E2D"/>
    <w:pPr>
      <w:spacing w:line="240" w:lineRule="auto"/>
    </w:pPr>
    <w:rPr>
      <w:sz w:val="20"/>
      <w:szCs w:val="20"/>
    </w:rPr>
  </w:style>
  <w:style w:type="character" w:customStyle="1" w:styleId="CommentTextChar">
    <w:name w:val="Comment Text Char"/>
    <w:basedOn w:val="DefaultParagraphFont"/>
    <w:link w:val="CommentText"/>
    <w:uiPriority w:val="99"/>
    <w:semiHidden/>
    <w:rsid w:val="00B84E2D"/>
    <w:rPr>
      <w:sz w:val="20"/>
      <w:szCs w:val="20"/>
    </w:rPr>
  </w:style>
  <w:style w:type="paragraph" w:styleId="CommentSubject">
    <w:name w:val="annotation subject"/>
    <w:basedOn w:val="CommentText"/>
    <w:next w:val="CommentText"/>
    <w:link w:val="CommentSubjectChar"/>
    <w:uiPriority w:val="99"/>
    <w:semiHidden/>
    <w:unhideWhenUsed/>
    <w:rsid w:val="00B84E2D"/>
    <w:rPr>
      <w:b/>
      <w:bCs/>
    </w:rPr>
  </w:style>
  <w:style w:type="character" w:customStyle="1" w:styleId="CommentSubjectChar">
    <w:name w:val="Comment Subject Char"/>
    <w:basedOn w:val="CommentTextChar"/>
    <w:link w:val="CommentSubject"/>
    <w:uiPriority w:val="99"/>
    <w:semiHidden/>
    <w:rsid w:val="00B84E2D"/>
    <w:rPr>
      <w:b/>
      <w:bCs/>
      <w:sz w:val="20"/>
      <w:szCs w:val="20"/>
    </w:rPr>
  </w:style>
  <w:style w:type="paragraph" w:styleId="BalloonText">
    <w:name w:val="Balloon Text"/>
    <w:basedOn w:val="Normal"/>
    <w:link w:val="BalloonTextChar"/>
    <w:uiPriority w:val="99"/>
    <w:semiHidden/>
    <w:unhideWhenUsed/>
    <w:rsid w:val="00B84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2D"/>
    <w:rPr>
      <w:rFonts w:ascii="Segoe UI" w:hAnsi="Segoe UI" w:cs="Segoe UI"/>
      <w:sz w:val="18"/>
      <w:szCs w:val="18"/>
    </w:rPr>
  </w:style>
  <w:style w:type="character" w:styleId="Hyperlink">
    <w:name w:val="Hyperlink"/>
    <w:basedOn w:val="DefaultParagraphFont"/>
    <w:uiPriority w:val="99"/>
    <w:unhideWhenUsed/>
    <w:rsid w:val="00AA5825"/>
    <w:rPr>
      <w:color w:val="0563C1" w:themeColor="hyperlink"/>
      <w:u w:val="single"/>
    </w:rPr>
  </w:style>
  <w:style w:type="paragraph" w:styleId="Header">
    <w:name w:val="header"/>
    <w:basedOn w:val="Normal"/>
    <w:link w:val="HeaderChar"/>
    <w:uiPriority w:val="99"/>
    <w:unhideWhenUsed/>
    <w:rsid w:val="00D934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34A0"/>
  </w:style>
  <w:style w:type="paragraph" w:styleId="Footer">
    <w:name w:val="footer"/>
    <w:basedOn w:val="Normal"/>
    <w:link w:val="FooterChar"/>
    <w:uiPriority w:val="99"/>
    <w:unhideWhenUsed/>
    <w:rsid w:val="00D934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0306">
      <w:bodyDiv w:val="1"/>
      <w:marLeft w:val="0"/>
      <w:marRight w:val="0"/>
      <w:marTop w:val="0"/>
      <w:marBottom w:val="0"/>
      <w:divBdr>
        <w:top w:val="none" w:sz="0" w:space="0" w:color="auto"/>
        <w:left w:val="none" w:sz="0" w:space="0" w:color="auto"/>
        <w:bottom w:val="none" w:sz="0" w:space="0" w:color="auto"/>
        <w:right w:val="none" w:sz="0" w:space="0" w:color="auto"/>
      </w:divBdr>
    </w:div>
    <w:div w:id="1198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sources/docgener/evaluation/pdf/guidance_performance_framework.pdf" TargetMode="External"/><Relationship Id="rId2" Type="http://schemas.openxmlformats.org/officeDocument/2006/relationships/hyperlink" Target="http://www.esfondi.lv/vadlinijas--skaidrojumi" TargetMode="External"/><Relationship Id="rId1" Type="http://schemas.openxmlformats.org/officeDocument/2006/relationships/hyperlink" Target="http://eur-lex.europa.eu/legal-content/LV/TXT/?qid=1421583712511&amp;uri=CELEX:32013R1303" TargetMode="External"/><Relationship Id="rId4" Type="http://schemas.openxmlformats.org/officeDocument/2006/relationships/hyperlink" Target="http://eur-lex.europa.eu/legal-content/LV/TXT/HTML/?uri=CELEX:32014R0480&amp;from=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7A1D-F2F6-4273-9E95-89842491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9494</Words>
  <Characters>5412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CPIPN</dc:creator>
  <cp:keywords/>
  <dc:description/>
  <cp:lastModifiedBy>Finanšu ministrija</cp:lastModifiedBy>
  <cp:revision>6</cp:revision>
  <dcterms:created xsi:type="dcterms:W3CDTF">2016-06-03T07:56:00Z</dcterms:created>
  <dcterms:modified xsi:type="dcterms:W3CDTF">2016-06-03T09:56:00Z</dcterms:modified>
</cp:coreProperties>
</file>