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4F451" w14:textId="77777777" w:rsidR="00684ADB" w:rsidRPr="009E245B" w:rsidRDefault="00684ADB" w:rsidP="00684ADB">
      <w:pPr>
        <w:jc w:val="center"/>
        <w:rPr>
          <w:b/>
          <w:sz w:val="28"/>
          <w:szCs w:val="28"/>
        </w:rPr>
      </w:pPr>
      <w:r w:rsidRPr="009E245B">
        <w:rPr>
          <w:b/>
          <w:sz w:val="28"/>
          <w:szCs w:val="28"/>
        </w:rPr>
        <w:t>INFORMATĪVAIS ZIŅOJUMS PAR EIROPAS SAVIENĪBAS STRUKTŪRFONDU UN KOHĒZIJAS FONDA</w:t>
      </w:r>
      <w:r w:rsidRPr="009E245B">
        <w:rPr>
          <w:b/>
          <w:caps/>
          <w:sz w:val="28"/>
          <w:szCs w:val="28"/>
        </w:rPr>
        <w:t xml:space="preserve"> </w:t>
      </w:r>
      <w:r w:rsidRPr="009E245B">
        <w:rPr>
          <w:b/>
          <w:sz w:val="28"/>
          <w:szCs w:val="28"/>
        </w:rPr>
        <w:t>INVESTĪCIJU IEVIEŠANAS STATUSU</w:t>
      </w:r>
      <w:r w:rsidRPr="009E245B">
        <w:rPr>
          <w:rStyle w:val="FootnoteReference"/>
          <w:b/>
          <w:sz w:val="28"/>
          <w:szCs w:val="28"/>
        </w:rPr>
        <w:footnoteReference w:id="1"/>
      </w:r>
      <w:r w:rsidRPr="009E245B">
        <w:rPr>
          <w:b/>
          <w:sz w:val="28"/>
          <w:szCs w:val="28"/>
        </w:rPr>
        <w:t xml:space="preserve"> </w:t>
      </w:r>
    </w:p>
    <w:p w14:paraId="063DA8FC" w14:textId="77777777" w:rsidR="00684ADB" w:rsidRPr="009E245B" w:rsidRDefault="00684ADB" w:rsidP="00684ADB">
      <w:pPr>
        <w:rPr>
          <w:sz w:val="28"/>
          <w:szCs w:val="28"/>
        </w:rPr>
      </w:pPr>
    </w:p>
    <w:p w14:paraId="4CC3CBB2" w14:textId="0E7BDDA8" w:rsidR="00405972" w:rsidRPr="009E245B" w:rsidRDefault="00684ADB" w:rsidP="00326786">
      <w:pPr>
        <w:pStyle w:val="BodyText"/>
        <w:numPr>
          <w:ilvl w:val="0"/>
          <w:numId w:val="22"/>
        </w:numPr>
        <w:spacing w:line="240" w:lineRule="auto"/>
        <w:ind w:left="0" w:firstLine="0"/>
        <w:jc w:val="both"/>
        <w:rPr>
          <w:rFonts w:eastAsia="Calibri"/>
          <w:b w:val="0"/>
          <w:sz w:val="28"/>
          <w:szCs w:val="28"/>
          <w:lang w:val="lv-LV" w:eastAsia="ar-SA"/>
        </w:rPr>
      </w:pPr>
      <w:r w:rsidRPr="009E245B">
        <w:rPr>
          <w:rFonts w:eastAsia="Calibri"/>
          <w:b w:val="0"/>
          <w:sz w:val="28"/>
          <w:szCs w:val="28"/>
          <w:lang w:val="lv-LV" w:eastAsia="ar-SA"/>
        </w:rPr>
        <w:t>Atbilstoši Ministru kabineta (turpmāk – MK) 2015.gada 10.marta sēdes protokola Nr.14 27.§ 11.punktam Finanšu ministrijai (turpmāk - FM) ir uzdots, sākot ar 2015.gada maiju</w:t>
      </w:r>
      <w:r w:rsidR="00832912" w:rsidRPr="009E245B">
        <w:rPr>
          <w:rFonts w:eastAsia="Calibri"/>
          <w:b w:val="0"/>
          <w:sz w:val="28"/>
          <w:szCs w:val="28"/>
          <w:lang w:val="lv-LV" w:eastAsia="ar-SA"/>
        </w:rPr>
        <w:t>,</w:t>
      </w:r>
      <w:r w:rsidRPr="009E245B">
        <w:rPr>
          <w:rFonts w:eastAsia="Calibri"/>
          <w:b w:val="0"/>
          <w:sz w:val="28"/>
          <w:szCs w:val="28"/>
          <w:lang w:val="lv-LV" w:eastAsia="ar-SA"/>
        </w:rPr>
        <w:t xml:space="preserve"> reizi mēnesī (līdz nākamā mēneša beigām) iesniegt MK bez saskaņošanas ar citām iestādēm operatīvo informāciju par Eiropas Savienības struktūrfondu un Kohēzijas fondu (turpmāk – ES fondi) ieviešanas plānu izpildi (turpmāk – </w:t>
      </w:r>
      <w:r w:rsidRPr="009E245B">
        <w:rPr>
          <w:rFonts w:eastAsia="Calibri"/>
          <w:b w:val="0"/>
          <w:sz w:val="28"/>
          <w:szCs w:val="28"/>
          <w:lang w:val="lv-LV"/>
        </w:rPr>
        <w:t xml:space="preserve">ikmēneša ziņojums </w:t>
      </w:r>
      <w:r w:rsidRPr="009E245B">
        <w:rPr>
          <w:rFonts w:eastAsia="Calibri"/>
          <w:b w:val="0"/>
          <w:sz w:val="28"/>
          <w:szCs w:val="28"/>
          <w:lang w:val="lv-LV" w:eastAsia="ar-SA"/>
        </w:rPr>
        <w:t>MK), tai skaitā informāciju atbildīgo iestāžu dalījumā par noteiktiem finanšu mērķiem un citiem pr</w:t>
      </w:r>
      <w:r w:rsidR="00326786" w:rsidRPr="009E245B">
        <w:rPr>
          <w:rFonts w:eastAsia="Calibri"/>
          <w:b w:val="0"/>
          <w:sz w:val="28"/>
          <w:szCs w:val="28"/>
          <w:lang w:val="lv-LV" w:eastAsia="ar-SA"/>
        </w:rPr>
        <w:t xml:space="preserve">iekšnosacījumiem un uzdevumiem. </w:t>
      </w:r>
      <w:r w:rsidR="00C23DD6" w:rsidRPr="009E245B">
        <w:rPr>
          <w:rFonts w:eastAsia="Calibri"/>
          <w:b w:val="0"/>
          <w:sz w:val="28"/>
          <w:szCs w:val="28"/>
          <w:lang w:val="lv-LV" w:eastAsia="ar-SA"/>
        </w:rPr>
        <w:t>Attiecīgi FM sniedz operatīvo informāciju par</w:t>
      </w:r>
      <w:r w:rsidR="00AC60AD" w:rsidRPr="009E245B">
        <w:rPr>
          <w:rFonts w:eastAsia="Calibri"/>
          <w:b w:val="0"/>
          <w:sz w:val="28"/>
          <w:szCs w:val="28"/>
          <w:lang w:val="lv-LV" w:eastAsia="ar-SA"/>
        </w:rPr>
        <w:t xml:space="preserve"> </w:t>
      </w:r>
      <w:r w:rsidR="00C23DD6" w:rsidRPr="009E245B">
        <w:rPr>
          <w:rFonts w:eastAsia="Calibri"/>
          <w:b w:val="0"/>
          <w:sz w:val="28"/>
          <w:szCs w:val="28"/>
          <w:lang w:val="lv-LV" w:eastAsia="ar-SA"/>
        </w:rPr>
        <w:t xml:space="preserve">galvenajiem </w:t>
      </w:r>
      <w:r w:rsidR="00723899" w:rsidRPr="009E245B">
        <w:rPr>
          <w:rFonts w:eastAsia="Calibri"/>
          <w:b w:val="0"/>
          <w:sz w:val="28"/>
          <w:szCs w:val="28"/>
          <w:lang w:val="lv-LV" w:eastAsia="ar-SA"/>
        </w:rPr>
        <w:t>aspekti</w:t>
      </w:r>
      <w:r w:rsidR="00C23DD6" w:rsidRPr="009E245B">
        <w:rPr>
          <w:rFonts w:eastAsia="Calibri"/>
          <w:b w:val="0"/>
          <w:sz w:val="28"/>
          <w:szCs w:val="28"/>
          <w:lang w:val="lv-LV" w:eastAsia="ar-SA"/>
        </w:rPr>
        <w:t>em</w:t>
      </w:r>
      <w:r w:rsidR="00723899" w:rsidRPr="009E245B">
        <w:rPr>
          <w:rFonts w:eastAsia="Calibri"/>
          <w:b w:val="0"/>
          <w:sz w:val="28"/>
          <w:szCs w:val="28"/>
          <w:lang w:val="lv-LV" w:eastAsia="ar-SA"/>
        </w:rPr>
        <w:t xml:space="preserve"> </w:t>
      </w:r>
      <w:r w:rsidR="00C23DD6" w:rsidRPr="009E245B">
        <w:rPr>
          <w:rFonts w:eastAsia="Calibri"/>
          <w:b w:val="0"/>
          <w:sz w:val="28"/>
          <w:szCs w:val="28"/>
          <w:lang w:val="lv-LV" w:eastAsia="ar-SA"/>
        </w:rPr>
        <w:t xml:space="preserve">un </w:t>
      </w:r>
      <w:r w:rsidR="004D3A6C" w:rsidRPr="009E245B">
        <w:rPr>
          <w:rFonts w:eastAsia="Calibri"/>
          <w:b w:val="0"/>
          <w:sz w:val="28"/>
          <w:szCs w:val="28"/>
          <w:lang w:val="lv-LV" w:eastAsia="ar-SA"/>
        </w:rPr>
        <w:t>aktu</w:t>
      </w:r>
      <w:r w:rsidR="00D203D0" w:rsidRPr="009E245B">
        <w:rPr>
          <w:rFonts w:eastAsia="Calibri"/>
          <w:b w:val="0"/>
          <w:sz w:val="28"/>
          <w:szCs w:val="28"/>
          <w:lang w:val="lv-LV" w:eastAsia="ar-SA"/>
        </w:rPr>
        <w:t>alitātēm</w:t>
      </w:r>
      <w:r w:rsidR="00405972" w:rsidRPr="009E245B">
        <w:rPr>
          <w:rFonts w:eastAsia="Calibri"/>
          <w:b w:val="0"/>
          <w:sz w:val="28"/>
          <w:szCs w:val="28"/>
          <w:lang w:val="lv-LV" w:eastAsia="ar-SA"/>
        </w:rPr>
        <w:t xml:space="preserve"> </w:t>
      </w:r>
      <w:r w:rsidR="004F5936" w:rsidRPr="009E245B">
        <w:rPr>
          <w:rFonts w:eastAsia="Calibri"/>
          <w:b w:val="0"/>
          <w:sz w:val="28"/>
          <w:szCs w:val="28"/>
          <w:lang w:val="lv-LV" w:eastAsia="ar-SA"/>
        </w:rPr>
        <w:t xml:space="preserve">ES fondu </w:t>
      </w:r>
      <w:r w:rsidR="00405972" w:rsidRPr="009E245B">
        <w:rPr>
          <w:rFonts w:eastAsia="Calibri"/>
          <w:b w:val="0"/>
          <w:sz w:val="28"/>
          <w:szCs w:val="28"/>
          <w:lang w:val="lv-LV" w:eastAsia="ar-SA"/>
        </w:rPr>
        <w:t>2014.–2020.gada plānošanas period</w:t>
      </w:r>
      <w:r w:rsidR="00723899" w:rsidRPr="009E245B">
        <w:rPr>
          <w:rFonts w:eastAsia="Calibri"/>
          <w:b w:val="0"/>
          <w:sz w:val="28"/>
          <w:szCs w:val="28"/>
          <w:lang w:val="lv-LV" w:eastAsia="ar-SA"/>
        </w:rPr>
        <w:t>ā</w:t>
      </w:r>
      <w:r w:rsidR="0037637C" w:rsidRPr="009E245B">
        <w:rPr>
          <w:rFonts w:eastAsia="Calibri"/>
          <w:b w:val="0"/>
          <w:sz w:val="28"/>
          <w:szCs w:val="28"/>
          <w:lang w:val="lv-LV" w:eastAsia="ar-SA"/>
        </w:rPr>
        <w:t>.</w:t>
      </w:r>
    </w:p>
    <w:p w14:paraId="51BF3E65" w14:textId="333DE45B" w:rsidR="001C220D" w:rsidRPr="009E245B" w:rsidRDefault="00684ADB" w:rsidP="00210951">
      <w:pPr>
        <w:pStyle w:val="ListParagraph"/>
        <w:numPr>
          <w:ilvl w:val="0"/>
          <w:numId w:val="22"/>
        </w:numPr>
        <w:suppressAutoHyphens/>
        <w:spacing w:before="120" w:after="120"/>
        <w:ind w:left="0" w:firstLine="0"/>
        <w:contextualSpacing w:val="0"/>
        <w:jc w:val="both"/>
        <w:rPr>
          <w:sz w:val="28"/>
          <w:szCs w:val="28"/>
        </w:rPr>
      </w:pPr>
      <w:r w:rsidRPr="009E245B">
        <w:rPr>
          <w:sz w:val="28"/>
          <w:szCs w:val="28"/>
        </w:rPr>
        <w:t>Informācij</w:t>
      </w:r>
      <w:r w:rsidR="00A564B5" w:rsidRPr="009E245B">
        <w:rPr>
          <w:sz w:val="28"/>
          <w:szCs w:val="28"/>
        </w:rPr>
        <w:t>u</w:t>
      </w:r>
      <w:r w:rsidRPr="009E245B">
        <w:rPr>
          <w:sz w:val="28"/>
          <w:szCs w:val="28"/>
        </w:rPr>
        <w:t xml:space="preserve"> par investīciju ieviešanas laika grafika</w:t>
      </w:r>
      <w:r w:rsidRPr="009E245B">
        <w:rPr>
          <w:rStyle w:val="FootnoteReference"/>
          <w:sz w:val="28"/>
          <w:szCs w:val="28"/>
        </w:rPr>
        <w:footnoteReference w:id="2"/>
      </w:r>
      <w:r w:rsidRPr="009E245B">
        <w:rPr>
          <w:sz w:val="28"/>
          <w:szCs w:val="28"/>
        </w:rPr>
        <w:t xml:space="preserve"> un finanšu progresa izpildes statusu </w:t>
      </w:r>
      <w:r w:rsidR="004A304D" w:rsidRPr="009E245B">
        <w:rPr>
          <w:sz w:val="28"/>
          <w:szCs w:val="28"/>
        </w:rPr>
        <w:t xml:space="preserve">līdz </w:t>
      </w:r>
      <w:r w:rsidR="007F7B16" w:rsidRPr="009E245B">
        <w:rPr>
          <w:b/>
          <w:sz w:val="28"/>
          <w:szCs w:val="28"/>
        </w:rPr>
        <w:t>2017</w:t>
      </w:r>
      <w:r w:rsidRPr="009E245B">
        <w:rPr>
          <w:b/>
          <w:sz w:val="28"/>
          <w:szCs w:val="28"/>
        </w:rPr>
        <w:t>.gada 1.</w:t>
      </w:r>
      <w:r w:rsidR="007F7B16" w:rsidRPr="009E245B">
        <w:rPr>
          <w:b/>
          <w:sz w:val="28"/>
          <w:szCs w:val="28"/>
        </w:rPr>
        <w:t>janvāri</w:t>
      </w:r>
      <w:r w:rsidR="008E5CA4" w:rsidRPr="009E245B">
        <w:rPr>
          <w:b/>
          <w:sz w:val="28"/>
          <w:szCs w:val="28"/>
        </w:rPr>
        <w:t>m</w:t>
      </w:r>
      <w:r w:rsidR="00C133C7" w:rsidRPr="009E245B">
        <w:rPr>
          <w:sz w:val="28"/>
          <w:szCs w:val="28"/>
        </w:rPr>
        <w:t xml:space="preserve"> </w:t>
      </w:r>
      <w:r w:rsidR="00A564B5" w:rsidRPr="009E245B">
        <w:rPr>
          <w:sz w:val="28"/>
          <w:szCs w:val="28"/>
        </w:rPr>
        <w:t>s</w:t>
      </w:r>
      <w:r w:rsidR="00207285" w:rsidRPr="009E245B">
        <w:rPr>
          <w:sz w:val="28"/>
          <w:szCs w:val="28"/>
        </w:rPr>
        <w:t>kat</w:t>
      </w:r>
      <w:r w:rsidR="00962AFF" w:rsidRPr="009E245B">
        <w:rPr>
          <w:sz w:val="28"/>
          <w:szCs w:val="28"/>
        </w:rPr>
        <w:t>īt</w:t>
      </w:r>
      <w:r w:rsidR="00AC60AD" w:rsidRPr="009E245B">
        <w:rPr>
          <w:sz w:val="28"/>
          <w:szCs w:val="28"/>
        </w:rPr>
        <w:t xml:space="preserve"> kopsavilkumu grafikā Nr.1</w:t>
      </w:r>
      <w:r w:rsidR="00207285" w:rsidRPr="009E245B">
        <w:rPr>
          <w:sz w:val="28"/>
          <w:szCs w:val="28"/>
        </w:rPr>
        <w:t xml:space="preserve"> un plašāku informāciju par </w:t>
      </w:r>
      <w:r w:rsidR="00207285" w:rsidRPr="009E245B">
        <w:rPr>
          <w:rFonts w:eastAsia="Calibri" w:cs="Times New Roman"/>
          <w:sz w:val="28"/>
          <w:szCs w:val="28"/>
          <w:lang w:eastAsia="ar-SA"/>
        </w:rPr>
        <w:t>projektiem un tajos veikt</w:t>
      </w:r>
      <w:r w:rsidR="00962AFF" w:rsidRPr="009E245B">
        <w:rPr>
          <w:rFonts w:eastAsia="Calibri" w:cs="Times New Roman"/>
          <w:sz w:val="28"/>
          <w:szCs w:val="28"/>
          <w:lang w:eastAsia="ar-SA"/>
        </w:rPr>
        <w:t>aj</w:t>
      </w:r>
      <w:r w:rsidR="00207285" w:rsidRPr="009E245B">
        <w:rPr>
          <w:rFonts w:eastAsia="Calibri" w:cs="Times New Roman"/>
          <w:sz w:val="28"/>
          <w:szCs w:val="28"/>
          <w:lang w:eastAsia="ar-SA"/>
        </w:rPr>
        <w:t>iem maksājumiem ES fondu tīmekļa vietnē</w:t>
      </w:r>
      <w:r w:rsidR="00207285" w:rsidRPr="009E245B">
        <w:rPr>
          <w:rStyle w:val="FootnoteReference"/>
          <w:rFonts w:eastAsia="Calibri" w:cs="Times New Roman"/>
          <w:sz w:val="28"/>
          <w:szCs w:val="28"/>
          <w:lang w:eastAsia="ar-SA"/>
        </w:rPr>
        <w:footnoteReference w:id="3"/>
      </w:r>
      <w:r w:rsidR="00207285" w:rsidRPr="009E245B">
        <w:rPr>
          <w:sz w:val="28"/>
          <w:szCs w:val="28"/>
        </w:rPr>
        <w:t>.</w:t>
      </w:r>
    </w:p>
    <w:p w14:paraId="58390C74" w14:textId="37A8F39A" w:rsidR="00B7100B" w:rsidRPr="009E245B" w:rsidRDefault="00AC60AD" w:rsidP="000A302E">
      <w:pPr>
        <w:pStyle w:val="ListParagraph"/>
        <w:suppressAutoHyphens/>
        <w:spacing w:before="120" w:after="120"/>
        <w:ind w:left="0"/>
        <w:contextualSpacing w:val="0"/>
        <w:jc w:val="both"/>
        <w:rPr>
          <w:rFonts w:eastAsia="Times New Roman" w:cs="Times New Roman"/>
          <w:bCs/>
          <w:i/>
          <w:color w:val="000000"/>
          <w:szCs w:val="28"/>
        </w:rPr>
      </w:pPr>
      <w:r w:rsidRPr="009E245B">
        <w:rPr>
          <w:rFonts w:eastAsia="Times New Roman" w:cs="Times New Roman"/>
          <w:i/>
          <w:color w:val="000000"/>
          <w:szCs w:val="28"/>
        </w:rPr>
        <w:t>Grafiks Nr.1</w:t>
      </w:r>
      <w:r w:rsidR="00B7100B" w:rsidRPr="009E245B">
        <w:rPr>
          <w:rFonts w:eastAsia="Times New Roman" w:cs="Times New Roman"/>
          <w:i/>
          <w:color w:val="000000"/>
          <w:szCs w:val="28"/>
        </w:rPr>
        <w:t xml:space="preserve"> “</w:t>
      </w:r>
      <w:r w:rsidR="00B7100B" w:rsidRPr="009E245B">
        <w:rPr>
          <w:rFonts w:eastAsia="Times New Roman" w:cs="Times New Roman"/>
          <w:bCs/>
          <w:i/>
          <w:color w:val="000000"/>
          <w:szCs w:val="28"/>
        </w:rPr>
        <w:t>ES fondu investīciju uzsākšanas un ieviešanas statuss līdz 201</w:t>
      </w:r>
      <w:r w:rsidR="007F7B16" w:rsidRPr="009E245B">
        <w:rPr>
          <w:rFonts w:eastAsia="Times New Roman" w:cs="Times New Roman"/>
          <w:bCs/>
          <w:i/>
          <w:color w:val="000000"/>
          <w:szCs w:val="28"/>
        </w:rPr>
        <w:t>7</w:t>
      </w:r>
      <w:r w:rsidR="00B7100B" w:rsidRPr="009E245B">
        <w:rPr>
          <w:rFonts w:eastAsia="Times New Roman" w:cs="Times New Roman"/>
          <w:bCs/>
          <w:i/>
          <w:color w:val="000000"/>
          <w:szCs w:val="28"/>
        </w:rPr>
        <w:t>.gada 1.</w:t>
      </w:r>
      <w:r w:rsidR="007F7B16" w:rsidRPr="009E245B">
        <w:rPr>
          <w:rFonts w:eastAsia="Times New Roman" w:cs="Times New Roman"/>
          <w:bCs/>
          <w:i/>
          <w:color w:val="000000"/>
          <w:szCs w:val="28"/>
        </w:rPr>
        <w:t>janvārim</w:t>
      </w:r>
      <w:r w:rsidR="00C133C7" w:rsidRPr="009E245B">
        <w:rPr>
          <w:rFonts w:eastAsia="Times New Roman" w:cs="Times New Roman"/>
          <w:bCs/>
          <w:i/>
          <w:color w:val="000000"/>
          <w:szCs w:val="28"/>
        </w:rPr>
        <w:t xml:space="preserve"> </w:t>
      </w:r>
      <w:r w:rsidR="00B7100B" w:rsidRPr="009E245B">
        <w:rPr>
          <w:rFonts w:eastAsia="Times New Roman" w:cs="Times New Roman"/>
          <w:bCs/>
          <w:i/>
          <w:color w:val="000000"/>
          <w:szCs w:val="28"/>
        </w:rPr>
        <w:t>milj. euro, % no ES fondu finansējuma, progress pret datiem līdz 2016.gada 1.</w:t>
      </w:r>
      <w:r w:rsidR="007F7B16" w:rsidRPr="009E245B">
        <w:rPr>
          <w:rFonts w:eastAsia="Times New Roman" w:cs="Times New Roman"/>
          <w:bCs/>
          <w:i/>
          <w:color w:val="000000"/>
          <w:szCs w:val="28"/>
        </w:rPr>
        <w:t>decembrim</w:t>
      </w:r>
      <w:r w:rsidR="00B7100B" w:rsidRPr="009E245B">
        <w:rPr>
          <w:rFonts w:eastAsia="Times New Roman" w:cs="Times New Roman"/>
          <w:bCs/>
          <w:i/>
          <w:color w:val="000000"/>
          <w:szCs w:val="28"/>
        </w:rPr>
        <w:t>”</w:t>
      </w:r>
    </w:p>
    <w:p w14:paraId="67963B87" w14:textId="51417CCC" w:rsidR="0089417B" w:rsidRPr="009E245B" w:rsidRDefault="0089417B" w:rsidP="000A302E">
      <w:pPr>
        <w:pStyle w:val="ListParagraph"/>
        <w:suppressAutoHyphens/>
        <w:spacing w:before="120" w:after="120"/>
        <w:ind w:left="0"/>
        <w:contextualSpacing w:val="0"/>
        <w:jc w:val="both"/>
        <w:rPr>
          <w:rFonts w:eastAsia="Times New Roman" w:cs="Times New Roman"/>
          <w:bCs/>
          <w:i/>
          <w:color w:val="000000"/>
          <w:szCs w:val="28"/>
        </w:rPr>
      </w:pPr>
      <w:r w:rsidRPr="009E245B">
        <w:rPr>
          <w:noProof/>
          <w:lang w:eastAsia="lv-LV"/>
        </w:rPr>
        <w:drawing>
          <wp:inline distT="0" distB="0" distL="0" distR="0" wp14:anchorId="310F3B97" wp14:editId="34E518FF">
            <wp:extent cx="5943600" cy="3604437"/>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947CAF" w14:textId="352D89E9" w:rsidR="00B7100B" w:rsidRPr="009E245B" w:rsidRDefault="00B7100B" w:rsidP="00B7100B">
      <w:pPr>
        <w:pStyle w:val="ListParagraph"/>
        <w:numPr>
          <w:ilvl w:val="0"/>
          <w:numId w:val="22"/>
        </w:numPr>
        <w:suppressAutoHyphens/>
        <w:spacing w:before="120" w:after="120"/>
        <w:ind w:left="0" w:firstLine="0"/>
        <w:contextualSpacing w:val="0"/>
        <w:jc w:val="both"/>
        <w:rPr>
          <w:color w:val="000000" w:themeColor="text1"/>
          <w:sz w:val="28"/>
          <w:szCs w:val="28"/>
        </w:rPr>
      </w:pPr>
      <w:r w:rsidRPr="009E245B">
        <w:rPr>
          <w:b/>
          <w:sz w:val="28"/>
          <w:szCs w:val="28"/>
        </w:rPr>
        <w:lastRenderedPageBreak/>
        <w:t xml:space="preserve">Progress projektu ieviešanas posmā ir dinamisks. Piemēram, </w:t>
      </w:r>
      <w:r w:rsidR="00B9731F" w:rsidRPr="009E245B">
        <w:rPr>
          <w:b/>
          <w:sz w:val="28"/>
          <w:szCs w:val="28"/>
        </w:rPr>
        <w:t xml:space="preserve">nepilnu </w:t>
      </w:r>
      <w:r w:rsidR="007A25AE" w:rsidRPr="009E245B">
        <w:rPr>
          <w:b/>
          <w:sz w:val="28"/>
          <w:szCs w:val="28"/>
        </w:rPr>
        <w:t>3</w:t>
      </w:r>
      <w:r w:rsidRPr="009E245B">
        <w:rPr>
          <w:b/>
          <w:sz w:val="28"/>
          <w:szCs w:val="28"/>
        </w:rPr>
        <w:t xml:space="preserve"> nedēļu laikā</w:t>
      </w:r>
      <w:r w:rsidR="00BC26D9" w:rsidRPr="009E245B">
        <w:rPr>
          <w:sz w:val="28"/>
          <w:szCs w:val="28"/>
        </w:rPr>
        <w:t xml:space="preserve"> līdz 2017</w:t>
      </w:r>
      <w:r w:rsidRPr="009E245B">
        <w:rPr>
          <w:sz w:val="28"/>
          <w:szCs w:val="28"/>
        </w:rPr>
        <w:t xml:space="preserve">.gada </w:t>
      </w:r>
      <w:r w:rsidR="00942B42" w:rsidRPr="009E245B">
        <w:rPr>
          <w:sz w:val="28"/>
          <w:szCs w:val="28"/>
        </w:rPr>
        <w:t>17</w:t>
      </w:r>
      <w:r w:rsidRPr="009E245B">
        <w:rPr>
          <w:sz w:val="28"/>
          <w:szCs w:val="28"/>
        </w:rPr>
        <w:t>.</w:t>
      </w:r>
      <w:r w:rsidR="00BC26D9" w:rsidRPr="009E245B">
        <w:rPr>
          <w:sz w:val="28"/>
          <w:szCs w:val="28"/>
        </w:rPr>
        <w:t>janvārim</w:t>
      </w:r>
      <w:r w:rsidRPr="009E245B">
        <w:rPr>
          <w:sz w:val="28"/>
          <w:szCs w:val="28"/>
        </w:rPr>
        <w:t xml:space="preserve"> </w:t>
      </w:r>
      <w:r w:rsidR="00B12C2D" w:rsidRPr="009E245B">
        <w:rPr>
          <w:sz w:val="28"/>
          <w:szCs w:val="28"/>
        </w:rPr>
        <w:t xml:space="preserve">apstiprināti projekti par papildus </w:t>
      </w:r>
      <w:r w:rsidR="00BC26D9" w:rsidRPr="009E245B">
        <w:rPr>
          <w:sz w:val="28"/>
          <w:szCs w:val="28"/>
        </w:rPr>
        <w:t>49,2</w:t>
      </w:r>
      <w:r w:rsidR="00B12C2D" w:rsidRPr="009E245B">
        <w:rPr>
          <w:sz w:val="28"/>
          <w:szCs w:val="28"/>
        </w:rPr>
        <w:t xml:space="preserve"> milj. e</w:t>
      </w:r>
      <w:r w:rsidR="00B12C2D" w:rsidRPr="009E245B">
        <w:rPr>
          <w:i/>
          <w:sz w:val="28"/>
          <w:szCs w:val="28"/>
        </w:rPr>
        <w:t>uro</w:t>
      </w:r>
      <w:r w:rsidR="00B12C2D" w:rsidRPr="009E245B">
        <w:rPr>
          <w:sz w:val="28"/>
          <w:szCs w:val="28"/>
        </w:rPr>
        <w:t xml:space="preserve">, </w:t>
      </w:r>
      <w:r w:rsidRPr="009E245B">
        <w:rPr>
          <w:sz w:val="28"/>
          <w:szCs w:val="28"/>
        </w:rPr>
        <w:t xml:space="preserve">noslēgti līgumi par papildus </w:t>
      </w:r>
      <w:r w:rsidR="00BC26D9" w:rsidRPr="009E245B">
        <w:rPr>
          <w:sz w:val="28"/>
          <w:szCs w:val="28"/>
        </w:rPr>
        <w:t>26,4</w:t>
      </w:r>
      <w:r w:rsidRPr="009E245B">
        <w:rPr>
          <w:sz w:val="28"/>
          <w:szCs w:val="28"/>
        </w:rPr>
        <w:t xml:space="preserve"> milj</w:t>
      </w:r>
      <w:r w:rsidR="00A64EBA" w:rsidRPr="009E245B">
        <w:rPr>
          <w:sz w:val="28"/>
          <w:szCs w:val="28"/>
        </w:rPr>
        <w:t>.</w:t>
      </w:r>
      <w:r w:rsidRPr="009E245B">
        <w:rPr>
          <w:sz w:val="28"/>
          <w:szCs w:val="28"/>
        </w:rPr>
        <w:t xml:space="preserve"> </w:t>
      </w:r>
      <w:r w:rsidRPr="009E245B">
        <w:rPr>
          <w:i/>
          <w:sz w:val="28"/>
          <w:szCs w:val="28"/>
        </w:rPr>
        <w:t>euro</w:t>
      </w:r>
      <w:r w:rsidR="0047271D" w:rsidRPr="009E245B">
        <w:rPr>
          <w:sz w:val="28"/>
          <w:szCs w:val="28"/>
        </w:rPr>
        <w:t xml:space="preserve"> un</w:t>
      </w:r>
      <w:r w:rsidRPr="009E245B">
        <w:rPr>
          <w:sz w:val="28"/>
          <w:szCs w:val="28"/>
        </w:rPr>
        <w:t xml:space="preserve"> veikti maksājumi par </w:t>
      </w:r>
      <w:r w:rsidR="00962AFF" w:rsidRPr="009E245B">
        <w:rPr>
          <w:sz w:val="28"/>
          <w:szCs w:val="28"/>
        </w:rPr>
        <w:t xml:space="preserve">vēl </w:t>
      </w:r>
      <w:r w:rsidR="00E0017E" w:rsidRPr="009E245B">
        <w:rPr>
          <w:sz w:val="28"/>
          <w:szCs w:val="28"/>
        </w:rPr>
        <w:t>13,9</w:t>
      </w:r>
      <w:r w:rsidRPr="009E245B">
        <w:rPr>
          <w:sz w:val="28"/>
          <w:szCs w:val="28"/>
        </w:rPr>
        <w:t xml:space="preserve"> milj</w:t>
      </w:r>
      <w:r w:rsidR="00A64EBA" w:rsidRPr="009E245B">
        <w:rPr>
          <w:sz w:val="28"/>
          <w:szCs w:val="28"/>
        </w:rPr>
        <w:t>.</w:t>
      </w:r>
      <w:r w:rsidRPr="009E245B">
        <w:rPr>
          <w:sz w:val="28"/>
          <w:szCs w:val="28"/>
        </w:rPr>
        <w:t xml:space="preserve"> </w:t>
      </w:r>
      <w:r w:rsidRPr="009E245B">
        <w:rPr>
          <w:i/>
          <w:sz w:val="28"/>
          <w:szCs w:val="28"/>
        </w:rPr>
        <w:t>euro</w:t>
      </w:r>
      <w:r w:rsidRPr="009E245B">
        <w:rPr>
          <w:sz w:val="28"/>
          <w:szCs w:val="28"/>
        </w:rPr>
        <w:t>. Progress, galvenokārt, transporta</w:t>
      </w:r>
      <w:r w:rsidR="00B12C2D" w:rsidRPr="009E245B">
        <w:rPr>
          <w:sz w:val="28"/>
          <w:szCs w:val="28"/>
        </w:rPr>
        <w:t xml:space="preserve"> un uzņēmējdarbības</w:t>
      </w:r>
      <w:r w:rsidRPr="009E245B">
        <w:rPr>
          <w:sz w:val="28"/>
          <w:szCs w:val="28"/>
        </w:rPr>
        <w:t xml:space="preserve"> nozarē. </w:t>
      </w:r>
    </w:p>
    <w:p w14:paraId="65EDC538" w14:textId="20780722" w:rsidR="006E225E" w:rsidRPr="009E245B" w:rsidRDefault="00A564B5" w:rsidP="00BF0B4C">
      <w:pPr>
        <w:pStyle w:val="ListParagraph"/>
        <w:numPr>
          <w:ilvl w:val="0"/>
          <w:numId w:val="22"/>
        </w:numPr>
        <w:suppressAutoHyphens/>
        <w:spacing w:before="120" w:after="120"/>
        <w:ind w:left="0" w:firstLine="0"/>
        <w:contextualSpacing w:val="0"/>
        <w:jc w:val="both"/>
        <w:rPr>
          <w:color w:val="000000" w:themeColor="text1"/>
          <w:sz w:val="28"/>
          <w:szCs w:val="28"/>
        </w:rPr>
      </w:pPr>
      <w:r w:rsidRPr="009E245B">
        <w:rPr>
          <w:sz w:val="28"/>
          <w:szCs w:val="28"/>
        </w:rPr>
        <w:t>P</w:t>
      </w:r>
      <w:r w:rsidR="00AE709D" w:rsidRPr="009E245B">
        <w:rPr>
          <w:sz w:val="28"/>
          <w:szCs w:val="28"/>
        </w:rPr>
        <w:t>rojektu uzsākšanas nosacījumu izstrādē (primāri MK noteikumi</w:t>
      </w:r>
      <w:r w:rsidR="004F5936" w:rsidRPr="009E245B">
        <w:rPr>
          <w:sz w:val="28"/>
          <w:szCs w:val="28"/>
        </w:rPr>
        <w:t xml:space="preserve"> par specifiskā atbalsta mērķa īstenošanu (turpmāk – MK noteikumi)</w:t>
      </w:r>
      <w:r w:rsidR="00AE709D" w:rsidRPr="009E245B">
        <w:rPr>
          <w:sz w:val="28"/>
          <w:szCs w:val="28"/>
        </w:rPr>
        <w:t xml:space="preserve">) </w:t>
      </w:r>
      <w:r w:rsidR="00E26270" w:rsidRPr="009E245B">
        <w:rPr>
          <w:sz w:val="28"/>
          <w:szCs w:val="28"/>
        </w:rPr>
        <w:t>sasniegts ļoti labs rezultāts. L</w:t>
      </w:r>
      <w:r w:rsidR="00D96336" w:rsidRPr="009E245B">
        <w:rPr>
          <w:sz w:val="28"/>
          <w:szCs w:val="28"/>
        </w:rPr>
        <w:t xml:space="preserve">īdz 2016.gada beigām </w:t>
      </w:r>
      <w:r w:rsidR="004601AF" w:rsidRPr="009E245B">
        <w:rPr>
          <w:sz w:val="28"/>
          <w:szCs w:val="28"/>
        </w:rPr>
        <w:t xml:space="preserve">no 4 miljardu </w:t>
      </w:r>
      <w:r w:rsidR="004601AF" w:rsidRPr="009E245B">
        <w:rPr>
          <w:i/>
          <w:sz w:val="28"/>
          <w:szCs w:val="28"/>
        </w:rPr>
        <w:t>euro</w:t>
      </w:r>
      <w:r w:rsidR="004601AF" w:rsidRPr="009E245B">
        <w:rPr>
          <w:sz w:val="28"/>
          <w:szCs w:val="28"/>
        </w:rPr>
        <w:t xml:space="preserve"> valdības mērķa</w:t>
      </w:r>
      <w:r w:rsidR="00E26270" w:rsidRPr="009E245B">
        <w:rPr>
          <w:rStyle w:val="FootnoteReference"/>
          <w:sz w:val="28"/>
          <w:szCs w:val="28"/>
        </w:rPr>
        <w:footnoteReference w:id="4"/>
      </w:r>
      <w:r w:rsidR="004601AF" w:rsidRPr="009E245B">
        <w:rPr>
          <w:sz w:val="28"/>
          <w:szCs w:val="28"/>
        </w:rPr>
        <w:t xml:space="preserve"> ir izdevies </w:t>
      </w:r>
      <w:r w:rsidR="007A25AE" w:rsidRPr="009E245B">
        <w:rPr>
          <w:sz w:val="28"/>
          <w:szCs w:val="28"/>
        </w:rPr>
        <w:t xml:space="preserve">apstiprināt </w:t>
      </w:r>
      <w:r w:rsidR="00B854C0" w:rsidRPr="009E245B">
        <w:rPr>
          <w:sz w:val="28"/>
          <w:szCs w:val="28"/>
        </w:rPr>
        <w:t xml:space="preserve">investīciju </w:t>
      </w:r>
      <w:r w:rsidR="007A25AE" w:rsidRPr="009E245B">
        <w:rPr>
          <w:sz w:val="28"/>
          <w:szCs w:val="28"/>
        </w:rPr>
        <w:t xml:space="preserve">MK noteikumus par </w:t>
      </w:r>
      <w:r w:rsidR="001764D2" w:rsidRPr="009E245B">
        <w:rPr>
          <w:sz w:val="28"/>
          <w:szCs w:val="28"/>
        </w:rPr>
        <w:t>3,</w:t>
      </w:r>
      <w:r w:rsidR="00A743F8" w:rsidRPr="009E245B">
        <w:rPr>
          <w:sz w:val="28"/>
          <w:szCs w:val="28"/>
        </w:rPr>
        <w:t>7</w:t>
      </w:r>
      <w:r w:rsidR="001764D2" w:rsidRPr="009E245B">
        <w:rPr>
          <w:sz w:val="28"/>
          <w:szCs w:val="28"/>
        </w:rPr>
        <w:t xml:space="preserve"> miljardiem </w:t>
      </w:r>
      <w:r w:rsidR="001764D2" w:rsidRPr="009E245B">
        <w:rPr>
          <w:i/>
          <w:sz w:val="28"/>
          <w:szCs w:val="28"/>
        </w:rPr>
        <w:t>euro</w:t>
      </w:r>
      <w:r w:rsidR="001764D2" w:rsidRPr="009E245B">
        <w:rPr>
          <w:sz w:val="28"/>
          <w:szCs w:val="28"/>
        </w:rPr>
        <w:t xml:space="preserve"> </w:t>
      </w:r>
      <w:r w:rsidR="00F41503" w:rsidRPr="009E245B">
        <w:rPr>
          <w:sz w:val="28"/>
          <w:szCs w:val="28"/>
        </w:rPr>
        <w:t>jeb 9</w:t>
      </w:r>
      <w:r w:rsidR="00A743F8" w:rsidRPr="009E245B">
        <w:rPr>
          <w:sz w:val="28"/>
          <w:szCs w:val="28"/>
        </w:rPr>
        <w:t>4</w:t>
      </w:r>
      <w:r w:rsidR="00F41503" w:rsidRPr="009E245B">
        <w:rPr>
          <w:sz w:val="28"/>
          <w:szCs w:val="28"/>
        </w:rPr>
        <w:t>%</w:t>
      </w:r>
      <w:r w:rsidR="00B854C0" w:rsidRPr="009E245B">
        <w:rPr>
          <w:sz w:val="28"/>
          <w:szCs w:val="28"/>
        </w:rPr>
        <w:t xml:space="preserve">. Līdz 2016.gada beigām investīciju noteikumi spēkā ir jau </w:t>
      </w:r>
      <w:r w:rsidR="00F41503" w:rsidRPr="009E245B">
        <w:rPr>
          <w:sz w:val="28"/>
          <w:szCs w:val="28"/>
        </w:rPr>
        <w:t>85</w:t>
      </w:r>
      <w:r w:rsidR="001764D2" w:rsidRPr="009E245B">
        <w:rPr>
          <w:sz w:val="28"/>
          <w:szCs w:val="28"/>
        </w:rPr>
        <w:t>% no kopējā pieejamā ES fondu finansējuma</w:t>
      </w:r>
      <w:r w:rsidR="00B854C0" w:rsidRPr="009E245B">
        <w:rPr>
          <w:sz w:val="28"/>
          <w:szCs w:val="28"/>
        </w:rPr>
        <w:t xml:space="preserve"> investī</w:t>
      </w:r>
      <w:r w:rsidR="00E84873" w:rsidRPr="009E245B">
        <w:rPr>
          <w:sz w:val="28"/>
          <w:szCs w:val="28"/>
        </w:rPr>
        <w:t>c</w:t>
      </w:r>
      <w:r w:rsidR="00B854C0" w:rsidRPr="009E245B">
        <w:rPr>
          <w:sz w:val="28"/>
          <w:szCs w:val="28"/>
        </w:rPr>
        <w:t>ijām līdz 2023.gadam</w:t>
      </w:r>
      <w:r w:rsidR="004601AF" w:rsidRPr="009E245B">
        <w:rPr>
          <w:sz w:val="28"/>
          <w:szCs w:val="28"/>
        </w:rPr>
        <w:t>.</w:t>
      </w:r>
      <w:r w:rsidR="009B2776" w:rsidRPr="009E245B">
        <w:rPr>
          <w:sz w:val="28"/>
          <w:szCs w:val="28"/>
        </w:rPr>
        <w:t xml:space="preserve"> </w:t>
      </w:r>
      <w:r w:rsidR="0072394F" w:rsidRPr="009E245B">
        <w:rPr>
          <w:sz w:val="28"/>
          <w:szCs w:val="28"/>
        </w:rPr>
        <w:t xml:space="preserve">Pozitīvi, ka </w:t>
      </w:r>
      <w:r w:rsidR="0072394F" w:rsidRPr="009E245B">
        <w:rPr>
          <w:rFonts w:eastAsia="Times New Roman"/>
          <w:bCs/>
          <w:sz w:val="28"/>
          <w:szCs w:val="28"/>
          <w:lang w:eastAsia="lv-LV"/>
        </w:rPr>
        <w:t xml:space="preserve">2017.gada 17.janvārī MK sēdē tika izskatīts Satiksmes ministrijas sagatavotais noslēguma ziņojums un pieņemts lēmums par dzelzceļa elektrifikācijas projekta (346,6 milj. </w:t>
      </w:r>
      <w:r w:rsidR="0072394F" w:rsidRPr="009E245B">
        <w:rPr>
          <w:rFonts w:eastAsia="Times New Roman"/>
          <w:bCs/>
          <w:i/>
          <w:sz w:val="28"/>
          <w:szCs w:val="28"/>
          <w:lang w:eastAsia="lv-LV"/>
        </w:rPr>
        <w:t>euro</w:t>
      </w:r>
      <w:r w:rsidR="0072394F" w:rsidRPr="009E245B">
        <w:rPr>
          <w:rFonts w:eastAsia="Times New Roman"/>
          <w:bCs/>
          <w:sz w:val="28"/>
          <w:szCs w:val="28"/>
          <w:lang w:eastAsia="lv-LV"/>
        </w:rPr>
        <w:t>) tālāku virzību</w:t>
      </w:r>
      <w:r w:rsidR="00724D33">
        <w:rPr>
          <w:rFonts w:eastAsia="Times New Roman"/>
          <w:bCs/>
          <w:sz w:val="28"/>
          <w:szCs w:val="28"/>
          <w:lang w:eastAsia="lv-LV"/>
        </w:rPr>
        <w:t>.</w:t>
      </w:r>
      <w:r w:rsidR="0072394F" w:rsidRPr="009E245B">
        <w:rPr>
          <w:rFonts w:eastAsia="Times New Roman"/>
          <w:bCs/>
          <w:sz w:val="28"/>
          <w:szCs w:val="28"/>
          <w:lang w:eastAsia="lv-LV"/>
        </w:rPr>
        <w:t xml:space="preserve"> </w:t>
      </w:r>
    </w:p>
    <w:p w14:paraId="701B205F" w14:textId="2C248A4F" w:rsidR="00966F47" w:rsidRPr="009E245B" w:rsidRDefault="00966F47" w:rsidP="00940FD7">
      <w:pPr>
        <w:pStyle w:val="ListParagraph"/>
        <w:numPr>
          <w:ilvl w:val="0"/>
          <w:numId w:val="22"/>
        </w:numPr>
        <w:suppressAutoHyphens/>
        <w:spacing w:before="120" w:after="120"/>
        <w:ind w:left="0" w:firstLine="0"/>
        <w:contextualSpacing w:val="0"/>
        <w:jc w:val="both"/>
        <w:rPr>
          <w:color w:val="000000" w:themeColor="text1"/>
          <w:sz w:val="28"/>
          <w:szCs w:val="28"/>
        </w:rPr>
      </w:pPr>
      <w:r w:rsidRPr="009E245B">
        <w:rPr>
          <w:rFonts w:cs="Times New Roman"/>
          <w:sz w:val="28"/>
          <w:szCs w:val="28"/>
        </w:rPr>
        <w:t>Kopsavilkumu par MK noteikumu ikmēneša p</w:t>
      </w:r>
      <w:r w:rsidR="00AC60AD" w:rsidRPr="009E245B">
        <w:rPr>
          <w:rFonts w:cs="Times New Roman"/>
          <w:sz w:val="28"/>
          <w:szCs w:val="28"/>
        </w:rPr>
        <w:t>lānu izpildi skatīt grafikā Nr.2</w:t>
      </w:r>
      <w:r w:rsidRPr="009E245B">
        <w:rPr>
          <w:rFonts w:cs="Times New Roman"/>
          <w:sz w:val="28"/>
          <w:szCs w:val="28"/>
        </w:rPr>
        <w:t xml:space="preserve">. </w:t>
      </w:r>
      <w:r w:rsidRPr="009E245B">
        <w:rPr>
          <w:sz w:val="28"/>
          <w:szCs w:val="28"/>
        </w:rPr>
        <w:t xml:space="preserve">Detalizēta statusa informācija ir pieejama </w:t>
      </w:r>
      <w:r w:rsidR="00796D7B" w:rsidRPr="009E245B">
        <w:rPr>
          <w:sz w:val="28"/>
          <w:szCs w:val="28"/>
        </w:rPr>
        <w:t>ES fondu tīmekļa vietnē</w:t>
      </w:r>
      <w:r w:rsidRPr="009E245B">
        <w:rPr>
          <w:rStyle w:val="FootnoteReference"/>
          <w:sz w:val="28"/>
          <w:szCs w:val="28"/>
        </w:rPr>
        <w:footnoteReference w:id="5"/>
      </w:r>
      <w:r w:rsidR="00796D7B" w:rsidRPr="009E245B">
        <w:rPr>
          <w:sz w:val="28"/>
          <w:szCs w:val="28"/>
        </w:rPr>
        <w:t>, savukārt</w:t>
      </w:r>
      <w:r w:rsidRPr="009E245B">
        <w:rPr>
          <w:sz w:val="28"/>
          <w:szCs w:val="28"/>
        </w:rPr>
        <w:t xml:space="preserve"> kavēto MK noteikumu statuss detalizēti uzskaitīts šī ziņojuma </w:t>
      </w:r>
      <w:r w:rsidR="00796D7B" w:rsidRPr="009E245B">
        <w:rPr>
          <w:sz w:val="28"/>
          <w:szCs w:val="28"/>
        </w:rPr>
        <w:t>1</w:t>
      </w:r>
      <w:r w:rsidRPr="009E245B">
        <w:rPr>
          <w:sz w:val="28"/>
          <w:szCs w:val="28"/>
        </w:rPr>
        <w:t>.</w:t>
      </w:r>
      <w:r w:rsidR="00B63C72" w:rsidRPr="009E245B">
        <w:rPr>
          <w:sz w:val="28"/>
          <w:szCs w:val="28"/>
        </w:rPr>
        <w:t xml:space="preserve"> </w:t>
      </w:r>
      <w:r w:rsidRPr="009E245B">
        <w:rPr>
          <w:sz w:val="28"/>
          <w:szCs w:val="28"/>
        </w:rPr>
        <w:t xml:space="preserve">un </w:t>
      </w:r>
      <w:r w:rsidR="00796D7B" w:rsidRPr="009E245B">
        <w:rPr>
          <w:sz w:val="28"/>
          <w:szCs w:val="28"/>
        </w:rPr>
        <w:t>2</w:t>
      </w:r>
      <w:r w:rsidRPr="009E245B">
        <w:rPr>
          <w:sz w:val="28"/>
          <w:szCs w:val="28"/>
        </w:rPr>
        <w:t>.pielikum</w:t>
      </w:r>
      <w:r w:rsidR="000C39BB" w:rsidRPr="009E245B">
        <w:rPr>
          <w:sz w:val="28"/>
          <w:szCs w:val="28"/>
        </w:rPr>
        <w:t>ā</w:t>
      </w:r>
      <w:r w:rsidRPr="009E245B">
        <w:rPr>
          <w:sz w:val="28"/>
          <w:szCs w:val="28"/>
        </w:rPr>
        <w:t>.</w:t>
      </w:r>
      <w:r w:rsidR="00796D7B" w:rsidRPr="009E245B">
        <w:rPr>
          <w:sz w:val="28"/>
          <w:szCs w:val="28"/>
        </w:rPr>
        <w:t xml:space="preserve"> </w:t>
      </w:r>
      <w:r w:rsidR="004C60BB">
        <w:rPr>
          <w:sz w:val="28"/>
          <w:szCs w:val="28"/>
        </w:rPr>
        <w:t>Plāns</w:t>
      </w:r>
      <w:r w:rsidR="00796D7B" w:rsidRPr="009E245B">
        <w:rPr>
          <w:sz w:val="28"/>
          <w:szCs w:val="28"/>
        </w:rPr>
        <w:t xml:space="preserve"> 2017.</w:t>
      </w:r>
      <w:r w:rsidR="00A743F8" w:rsidRPr="009E245B">
        <w:rPr>
          <w:sz w:val="28"/>
          <w:szCs w:val="28"/>
        </w:rPr>
        <w:t>-2019.</w:t>
      </w:r>
      <w:r w:rsidR="00796D7B" w:rsidRPr="009E245B">
        <w:rPr>
          <w:sz w:val="28"/>
          <w:szCs w:val="28"/>
        </w:rPr>
        <w:t>gadā apstiprināmajiem MK noteikumiem</w:t>
      </w:r>
      <w:r w:rsidR="00D76D23" w:rsidRPr="009E245B">
        <w:rPr>
          <w:sz w:val="28"/>
          <w:szCs w:val="28"/>
        </w:rPr>
        <w:t xml:space="preserve"> ar termiņiem</w:t>
      </w:r>
      <w:r w:rsidR="004C60BB">
        <w:rPr>
          <w:sz w:val="28"/>
          <w:szCs w:val="28"/>
        </w:rPr>
        <w:t xml:space="preserve"> tiks iekļauts </w:t>
      </w:r>
      <w:r w:rsidR="0037637C" w:rsidRPr="009E245B">
        <w:rPr>
          <w:sz w:val="28"/>
          <w:szCs w:val="28"/>
        </w:rPr>
        <w:t>izskatī</w:t>
      </w:r>
      <w:r w:rsidR="004C60BB">
        <w:rPr>
          <w:sz w:val="28"/>
          <w:szCs w:val="28"/>
        </w:rPr>
        <w:t xml:space="preserve">šanai </w:t>
      </w:r>
      <w:r w:rsidR="0037637C" w:rsidRPr="009E245B">
        <w:rPr>
          <w:sz w:val="28"/>
          <w:szCs w:val="28"/>
        </w:rPr>
        <w:t>valdībā</w:t>
      </w:r>
      <w:r w:rsidR="00400A2B" w:rsidRPr="009E245B">
        <w:rPr>
          <w:sz w:val="28"/>
          <w:szCs w:val="28"/>
        </w:rPr>
        <w:t xml:space="preserve"> kopā ar</w:t>
      </w:r>
      <w:r w:rsidR="00B63C72" w:rsidRPr="009E245B">
        <w:rPr>
          <w:sz w:val="28"/>
          <w:szCs w:val="28"/>
        </w:rPr>
        <w:t xml:space="preserve"> ES fondu </w:t>
      </w:r>
      <w:r w:rsidR="005F50B0" w:rsidRPr="009E245B">
        <w:rPr>
          <w:sz w:val="28"/>
          <w:szCs w:val="28"/>
        </w:rPr>
        <w:t>informatīvo pusgada ziņojumu, kas iesniedzams MK līdz 2017.gada 1.martam.</w:t>
      </w:r>
    </w:p>
    <w:p w14:paraId="5BB5C70F" w14:textId="2FC79EED" w:rsidR="00966F47" w:rsidRPr="009E245B" w:rsidRDefault="00AC60AD" w:rsidP="00966F47">
      <w:pPr>
        <w:rPr>
          <w:rFonts w:eastAsia="Times New Roman" w:cs="Times New Roman"/>
          <w:bCs/>
          <w:i/>
          <w:color w:val="000000"/>
          <w:szCs w:val="28"/>
        </w:rPr>
      </w:pPr>
      <w:r w:rsidRPr="009E245B">
        <w:rPr>
          <w:rFonts w:cs="Times New Roman"/>
          <w:i/>
          <w:szCs w:val="28"/>
        </w:rPr>
        <w:t>Grafiks Nr.2</w:t>
      </w:r>
      <w:r w:rsidR="00966F47" w:rsidRPr="009E245B">
        <w:rPr>
          <w:rFonts w:cs="Times New Roman"/>
          <w:i/>
          <w:szCs w:val="28"/>
        </w:rPr>
        <w:t xml:space="preserve"> “</w:t>
      </w:r>
      <w:r w:rsidR="00966F47" w:rsidRPr="009E245B">
        <w:rPr>
          <w:rFonts w:eastAsia="Times New Roman" w:cs="Times New Roman"/>
          <w:bCs/>
          <w:i/>
          <w:color w:val="000000"/>
          <w:szCs w:val="28"/>
        </w:rPr>
        <w:t>ES fondu investīciju uzsākšanas gatavība – MK noteikumi 201</w:t>
      </w:r>
      <w:r w:rsidR="00170486" w:rsidRPr="009E245B">
        <w:rPr>
          <w:rFonts w:eastAsia="Times New Roman" w:cs="Times New Roman"/>
          <w:bCs/>
          <w:i/>
          <w:color w:val="000000"/>
          <w:szCs w:val="28"/>
        </w:rPr>
        <w:t>6.gads.(faktiskie dati līdz 2017</w:t>
      </w:r>
      <w:r w:rsidR="00966F47" w:rsidRPr="009E245B">
        <w:rPr>
          <w:rFonts w:eastAsia="Times New Roman" w:cs="Times New Roman"/>
          <w:bCs/>
          <w:i/>
          <w:color w:val="000000"/>
          <w:szCs w:val="28"/>
        </w:rPr>
        <w:t>.gada</w:t>
      </w:r>
      <w:r w:rsidR="00170486" w:rsidRPr="009E245B">
        <w:rPr>
          <w:rFonts w:eastAsia="Times New Roman" w:cs="Times New Roman"/>
          <w:bCs/>
          <w:i/>
          <w:color w:val="000000"/>
          <w:szCs w:val="28"/>
        </w:rPr>
        <w:t xml:space="preserve"> 1.janvārim</w:t>
      </w:r>
      <w:r w:rsidR="00966F47" w:rsidRPr="009E245B">
        <w:rPr>
          <w:rFonts w:eastAsia="Times New Roman" w:cs="Times New Roman"/>
          <w:bCs/>
          <w:i/>
          <w:color w:val="000000"/>
          <w:szCs w:val="28"/>
        </w:rPr>
        <w:t>. milj. euro)</w:t>
      </w:r>
      <w:r w:rsidR="0016220F" w:rsidRPr="009E245B" w:rsidDel="0016220F">
        <w:rPr>
          <w:rStyle w:val="FootnoteReference"/>
          <w:rFonts w:eastAsia="Times New Roman" w:cs="Times New Roman"/>
          <w:bCs/>
          <w:i/>
          <w:color w:val="000000"/>
          <w:szCs w:val="28"/>
        </w:rPr>
        <w:t xml:space="preserve"> </w:t>
      </w:r>
      <w:r w:rsidR="00966F47" w:rsidRPr="009E245B">
        <w:rPr>
          <w:rFonts w:eastAsia="Times New Roman" w:cs="Times New Roman"/>
          <w:bCs/>
          <w:i/>
          <w:color w:val="000000"/>
          <w:szCs w:val="28"/>
        </w:rPr>
        <w:t>”</w:t>
      </w:r>
      <w:r w:rsidR="00966F47" w:rsidRPr="009E245B">
        <w:rPr>
          <w:rStyle w:val="FootnoteReference"/>
          <w:rFonts w:eastAsia="Times New Roman" w:cs="Times New Roman"/>
          <w:bCs/>
          <w:i/>
          <w:color w:val="000000"/>
          <w:szCs w:val="28"/>
        </w:rPr>
        <w:t xml:space="preserve"> </w:t>
      </w:r>
    </w:p>
    <w:p w14:paraId="7F6749E2" w14:textId="688BEC32" w:rsidR="00000113" w:rsidRPr="009E245B" w:rsidRDefault="00A743F8" w:rsidP="00A743F8">
      <w:pPr>
        <w:ind w:right="-568"/>
        <w:rPr>
          <w:rFonts w:cs="Times New Roman"/>
          <w:b/>
          <w:i/>
          <w:sz w:val="28"/>
          <w:szCs w:val="28"/>
        </w:rPr>
      </w:pPr>
      <w:r w:rsidRPr="009E245B">
        <w:rPr>
          <w:noProof/>
          <w:lang w:eastAsia="lv-LV"/>
        </w:rPr>
        <w:drawing>
          <wp:inline distT="0" distB="0" distL="0" distR="0" wp14:anchorId="5AF13113" wp14:editId="2D5A0A6D">
            <wp:extent cx="5815965" cy="3286125"/>
            <wp:effectExtent l="0" t="0" r="1333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63F7FB" w14:textId="6B2F3DF6" w:rsidR="00EC09E0" w:rsidRPr="009E245B" w:rsidRDefault="003D785B" w:rsidP="006257B3">
      <w:pPr>
        <w:pStyle w:val="ListParagraph"/>
        <w:numPr>
          <w:ilvl w:val="0"/>
          <w:numId w:val="22"/>
        </w:numPr>
        <w:suppressAutoHyphens/>
        <w:spacing w:before="120" w:after="120"/>
        <w:ind w:left="0" w:firstLine="0"/>
        <w:contextualSpacing w:val="0"/>
        <w:jc w:val="both"/>
        <w:rPr>
          <w:rFonts w:cs="Times New Roman"/>
          <w:sz w:val="28"/>
          <w:szCs w:val="28"/>
        </w:rPr>
      </w:pPr>
      <w:r w:rsidRPr="009E245B">
        <w:rPr>
          <w:rFonts w:cs="Times New Roman"/>
          <w:sz w:val="28"/>
          <w:szCs w:val="28"/>
        </w:rPr>
        <w:lastRenderedPageBreak/>
        <w:t>P</w:t>
      </w:r>
      <w:r w:rsidR="00684ADB" w:rsidRPr="009E245B">
        <w:rPr>
          <w:rFonts w:cs="Times New Roman"/>
          <w:sz w:val="28"/>
          <w:szCs w:val="28"/>
        </w:rPr>
        <w:t xml:space="preserve">rojektu iesniegumu </w:t>
      </w:r>
      <w:r w:rsidR="00684ADB" w:rsidRPr="009E245B">
        <w:rPr>
          <w:rFonts w:cs="Times New Roman"/>
          <w:b/>
          <w:sz w:val="28"/>
          <w:szCs w:val="28"/>
        </w:rPr>
        <w:t>atlašu izsludināšana</w:t>
      </w:r>
      <w:r w:rsidR="00A441A2" w:rsidRPr="009E245B">
        <w:rPr>
          <w:rFonts w:cs="Times New Roman"/>
          <w:b/>
          <w:sz w:val="28"/>
          <w:szCs w:val="28"/>
        </w:rPr>
        <w:t xml:space="preserve"> arvien</w:t>
      </w:r>
      <w:r w:rsidR="0044479A">
        <w:rPr>
          <w:rFonts w:cs="Times New Roman"/>
          <w:b/>
          <w:sz w:val="28"/>
          <w:szCs w:val="28"/>
        </w:rPr>
        <w:t xml:space="preserve"> turpina</w:t>
      </w:r>
      <w:r w:rsidR="00A441A2" w:rsidRPr="009E245B">
        <w:rPr>
          <w:rFonts w:cs="Times New Roman"/>
          <w:b/>
          <w:sz w:val="28"/>
          <w:szCs w:val="28"/>
        </w:rPr>
        <w:t xml:space="preserve"> progresē</w:t>
      </w:r>
      <w:r w:rsidR="0044479A">
        <w:rPr>
          <w:rFonts w:cs="Times New Roman"/>
          <w:b/>
          <w:sz w:val="28"/>
          <w:szCs w:val="28"/>
        </w:rPr>
        <w:t>t</w:t>
      </w:r>
      <w:r w:rsidR="003F0369" w:rsidRPr="009E245B">
        <w:rPr>
          <w:rFonts w:cs="Times New Roman"/>
          <w:b/>
          <w:sz w:val="28"/>
          <w:szCs w:val="28"/>
        </w:rPr>
        <w:t xml:space="preserve">. </w:t>
      </w:r>
      <w:r w:rsidR="005F50B0" w:rsidRPr="009E245B">
        <w:rPr>
          <w:rFonts w:eastAsia="Calibri" w:cs="Times New Roman"/>
          <w:sz w:val="28"/>
          <w:szCs w:val="28"/>
          <w:lang w:eastAsia="ar-SA"/>
        </w:rPr>
        <w:t>Būtiskākie riski un priekšlikumi to novēršanai tiek apkopoti</w:t>
      </w:r>
      <w:r w:rsidR="00AB04DB" w:rsidRPr="009E245B">
        <w:rPr>
          <w:rFonts w:eastAsia="Calibri" w:cs="Times New Roman"/>
          <w:sz w:val="28"/>
          <w:szCs w:val="28"/>
          <w:lang w:eastAsia="ar-SA"/>
        </w:rPr>
        <w:t xml:space="preserve"> </w:t>
      </w:r>
      <w:r w:rsidR="00EA3414" w:rsidRPr="009E245B">
        <w:rPr>
          <w:rFonts w:eastAsia="Calibri" w:cs="Times New Roman"/>
          <w:sz w:val="28"/>
          <w:szCs w:val="28"/>
          <w:lang w:eastAsia="ar-SA"/>
        </w:rPr>
        <w:t xml:space="preserve">ES fondu </w:t>
      </w:r>
      <w:r w:rsidR="00AB04DB" w:rsidRPr="009E245B">
        <w:rPr>
          <w:rFonts w:eastAsia="Calibri" w:cs="Times New Roman"/>
          <w:sz w:val="28"/>
          <w:szCs w:val="28"/>
          <w:lang w:eastAsia="ar-SA"/>
        </w:rPr>
        <w:t>informatīvajā</w:t>
      </w:r>
      <w:r w:rsidR="005F50B0" w:rsidRPr="009E245B">
        <w:rPr>
          <w:rFonts w:eastAsia="Calibri" w:cs="Times New Roman"/>
          <w:sz w:val="28"/>
          <w:szCs w:val="28"/>
          <w:lang w:eastAsia="ar-SA"/>
        </w:rPr>
        <w:t xml:space="preserve"> pusgada ziņojumā, kas jāiesniedz MK līdz 2017.g</w:t>
      </w:r>
      <w:bookmarkStart w:id="0" w:name="_GoBack"/>
      <w:bookmarkEnd w:id="0"/>
      <w:r w:rsidR="005F50B0" w:rsidRPr="009E245B">
        <w:rPr>
          <w:rFonts w:eastAsia="Calibri" w:cs="Times New Roman"/>
          <w:sz w:val="28"/>
          <w:szCs w:val="28"/>
          <w:lang w:eastAsia="ar-SA"/>
        </w:rPr>
        <w:t>ada 1.martam.</w:t>
      </w:r>
    </w:p>
    <w:p w14:paraId="5D5640CE" w14:textId="74FF1197" w:rsidR="004E60A3" w:rsidRPr="009E245B" w:rsidRDefault="00BE20A6" w:rsidP="004E60A3">
      <w:pPr>
        <w:pStyle w:val="BodyText"/>
        <w:numPr>
          <w:ilvl w:val="0"/>
          <w:numId w:val="22"/>
        </w:numPr>
        <w:spacing w:line="240" w:lineRule="auto"/>
        <w:ind w:left="0" w:firstLine="0"/>
        <w:jc w:val="both"/>
        <w:rPr>
          <w:rFonts w:eastAsia="Calibri"/>
          <w:b w:val="0"/>
          <w:sz w:val="28"/>
          <w:szCs w:val="28"/>
          <w:lang w:val="lv-LV" w:eastAsia="ar-SA"/>
        </w:rPr>
      </w:pPr>
      <w:r w:rsidRPr="009E245B">
        <w:rPr>
          <w:b w:val="0"/>
          <w:sz w:val="28"/>
          <w:szCs w:val="28"/>
          <w:lang w:val="lv-LV" w:eastAsia="ar-SA"/>
        </w:rPr>
        <w:t xml:space="preserve">Salīdzinot datus ar citām ES dalībvalstīm, </w:t>
      </w:r>
      <w:r w:rsidR="004E60A3" w:rsidRPr="009E245B">
        <w:rPr>
          <w:b w:val="0"/>
          <w:sz w:val="28"/>
          <w:szCs w:val="28"/>
          <w:lang w:val="lv-LV" w:eastAsia="ar-SA"/>
        </w:rPr>
        <w:t>Latvijai joprojām ir viens no labāk</w:t>
      </w:r>
      <w:r w:rsidR="00B32030" w:rsidRPr="009E245B">
        <w:rPr>
          <w:b w:val="0"/>
          <w:sz w:val="28"/>
          <w:szCs w:val="28"/>
          <w:lang w:val="lv-LV" w:eastAsia="ar-SA"/>
        </w:rPr>
        <w:t>aj</w:t>
      </w:r>
      <w:r w:rsidR="004E60A3" w:rsidRPr="009E245B">
        <w:rPr>
          <w:b w:val="0"/>
          <w:sz w:val="28"/>
          <w:szCs w:val="28"/>
          <w:lang w:val="lv-LV" w:eastAsia="ar-SA"/>
        </w:rPr>
        <w:t xml:space="preserve">iem </w:t>
      </w:r>
      <w:r w:rsidR="003D785B" w:rsidRPr="009E245B">
        <w:rPr>
          <w:b w:val="0"/>
          <w:sz w:val="28"/>
          <w:szCs w:val="28"/>
          <w:lang w:val="lv-LV" w:eastAsia="ar-SA"/>
        </w:rPr>
        <w:t xml:space="preserve">sniegumiem </w:t>
      </w:r>
      <w:r w:rsidR="009627FD" w:rsidRPr="009E245B">
        <w:rPr>
          <w:b w:val="0"/>
          <w:sz w:val="28"/>
          <w:szCs w:val="28"/>
          <w:lang w:val="lv-LV" w:eastAsia="ar-SA"/>
        </w:rPr>
        <w:t>- līdz</w:t>
      </w:r>
      <w:r w:rsidR="00BC26D9" w:rsidRPr="009E245B">
        <w:rPr>
          <w:b w:val="0"/>
          <w:sz w:val="28"/>
          <w:szCs w:val="28"/>
          <w:lang w:val="lv-LV" w:eastAsia="ar-SA"/>
        </w:rPr>
        <w:t xml:space="preserve"> 2017.gada 3.janvāri</w:t>
      </w:r>
      <w:r w:rsidR="009627FD" w:rsidRPr="009E245B">
        <w:rPr>
          <w:b w:val="0"/>
          <w:sz w:val="28"/>
          <w:szCs w:val="28"/>
          <w:lang w:val="lv-LV" w:eastAsia="ar-SA"/>
        </w:rPr>
        <w:t>m</w:t>
      </w:r>
      <w:r w:rsidR="00BC26D9" w:rsidRPr="009E245B">
        <w:rPr>
          <w:b w:val="0"/>
          <w:sz w:val="28"/>
          <w:szCs w:val="28"/>
          <w:lang w:val="lv-LV" w:eastAsia="ar-SA"/>
        </w:rPr>
        <w:t xml:space="preserve"> Latvija ir 6.vietā pēc saņemto starpposma maksājumu apjoma. </w:t>
      </w:r>
      <w:r w:rsidR="004E60A3" w:rsidRPr="009E245B">
        <w:rPr>
          <w:b w:val="0"/>
          <w:color w:val="000000" w:themeColor="text1"/>
          <w:sz w:val="28"/>
          <w:szCs w:val="28"/>
          <w:lang w:val="lv-LV"/>
        </w:rPr>
        <w:t xml:space="preserve">Detalizētu informāciju skatīt </w:t>
      </w:r>
      <w:hyperlink r:id="rId10" w:history="1">
        <w:r w:rsidR="004E60A3" w:rsidRPr="009E245B">
          <w:rPr>
            <w:rStyle w:val="Hyperlink"/>
            <w:b w:val="0"/>
            <w:color w:val="000000" w:themeColor="text1"/>
            <w:sz w:val="28"/>
            <w:szCs w:val="28"/>
            <w:lang w:val="lv-LV"/>
          </w:rPr>
          <w:t>ES fondu tīmekļa vietnē</w:t>
        </w:r>
      </w:hyperlink>
      <w:r w:rsidR="004E60A3" w:rsidRPr="009E245B">
        <w:rPr>
          <w:rStyle w:val="FootnoteReference"/>
          <w:b w:val="0"/>
          <w:color w:val="000000" w:themeColor="text1"/>
          <w:sz w:val="28"/>
          <w:szCs w:val="28"/>
          <w:lang w:val="lv-LV"/>
        </w:rPr>
        <w:footnoteReference w:id="6"/>
      </w:r>
      <w:r w:rsidR="00BC26D9" w:rsidRPr="009E245B">
        <w:rPr>
          <w:rStyle w:val="Hyperlink"/>
          <w:b w:val="0"/>
          <w:color w:val="000000" w:themeColor="text1"/>
          <w:sz w:val="28"/>
          <w:szCs w:val="28"/>
          <w:u w:val="none"/>
          <w:lang w:val="lv-LV"/>
        </w:rPr>
        <w:t>.</w:t>
      </w:r>
    </w:p>
    <w:p w14:paraId="03DF7D14" w14:textId="40D55701" w:rsidR="003D785B" w:rsidRPr="009E245B" w:rsidRDefault="003D785B" w:rsidP="003D785B">
      <w:pPr>
        <w:pStyle w:val="ListParagraph"/>
        <w:numPr>
          <w:ilvl w:val="0"/>
          <w:numId w:val="22"/>
        </w:numPr>
        <w:spacing w:before="120" w:after="120"/>
        <w:ind w:left="0" w:firstLine="0"/>
        <w:jc w:val="both"/>
        <w:rPr>
          <w:rFonts w:eastAsia="Calibri" w:cs="Times New Roman"/>
          <w:szCs w:val="24"/>
          <w:lang w:eastAsia="ar-SA"/>
        </w:rPr>
      </w:pPr>
      <w:r w:rsidRPr="009E245B">
        <w:rPr>
          <w:rFonts w:cs="Times New Roman"/>
          <w:sz w:val="28"/>
          <w:szCs w:val="28"/>
        </w:rPr>
        <w:t xml:space="preserve">2016.gadā kopumā izpildīti tikai 64,9% no gada sākumā prognozētajiem maksājumiem finansējuma saņēmējiem (turpmāk - FS) 2016.gadā FS izmaksājot 204,3 milj. </w:t>
      </w:r>
      <w:r w:rsidRPr="009E245B">
        <w:rPr>
          <w:rFonts w:cs="Times New Roman"/>
          <w:i/>
          <w:sz w:val="28"/>
          <w:szCs w:val="28"/>
        </w:rPr>
        <w:t>euro</w:t>
      </w:r>
      <w:r w:rsidRPr="009E245B">
        <w:rPr>
          <w:rFonts w:cs="Times New Roman"/>
          <w:sz w:val="28"/>
          <w:szCs w:val="28"/>
        </w:rPr>
        <w:t xml:space="preserve"> ES fondu investīciju paredzēto 314,9 milj. </w:t>
      </w:r>
      <w:r w:rsidRPr="009E245B">
        <w:rPr>
          <w:rFonts w:cs="Times New Roman"/>
          <w:i/>
          <w:sz w:val="28"/>
          <w:szCs w:val="28"/>
        </w:rPr>
        <w:t>euro</w:t>
      </w:r>
      <w:r w:rsidRPr="009E245B">
        <w:rPr>
          <w:rFonts w:cs="Times New Roman"/>
          <w:sz w:val="28"/>
          <w:szCs w:val="28"/>
        </w:rPr>
        <w:t xml:space="preserve"> vietā. Galvenokārt maksājumu plāni nav izpildīti atbalsta mērķos, kas saistīti ar valsts un reģionālo ceļu rekonstrukciju, jo vērojami iepirkumu procesa kavēkļi, novēlota projektu pieteikumu iesniegšana, kas mazināja investīciju tempu, salīdzinot ar 2015.gadu. Tāpat paredzētie ieguldījumi nav veikti integrēto teritoriālo investīciju projektos – atbalsta sniegšana nacionālas nozīmes attīstības centriem (tā kā integrētās teritoriālās investīcijas saskaņā ar ES fondu regulējošiem normatīvajiem aktiem ir jaunievedums šajā plānošanas periodā, normatīvu, atlašu nolikumu un projektu ideju izvērtēšana bija par iemeslu novēlotai projektu atlašu uzsākšanai, kas uzsākās tikai 2016.gada beigās).</w:t>
      </w:r>
      <w:r w:rsidRPr="009E245B">
        <w:rPr>
          <w:i/>
          <w:sz w:val="28"/>
          <w:szCs w:val="28"/>
        </w:rPr>
        <w:t xml:space="preserve"> </w:t>
      </w:r>
      <w:r w:rsidR="005F50B0" w:rsidRPr="009E245B">
        <w:rPr>
          <w:sz w:val="28"/>
          <w:szCs w:val="28"/>
        </w:rPr>
        <w:t>Finanšu plāna izpildi 2016.gadam skatīt tabulā Nr.1.</w:t>
      </w:r>
    </w:p>
    <w:p w14:paraId="5CD971A3" w14:textId="77777777" w:rsidR="00D06A41" w:rsidRPr="009E245B" w:rsidRDefault="00D06A41" w:rsidP="00D06A41">
      <w:pPr>
        <w:rPr>
          <w:rFonts w:eastAsia="Calibri" w:cs="Times New Roman"/>
          <w:i/>
          <w:lang w:eastAsia="ar-SA"/>
        </w:rPr>
      </w:pPr>
      <w:r w:rsidRPr="009E245B">
        <w:rPr>
          <w:rFonts w:eastAsia="Calibri" w:cs="Times New Roman"/>
          <w:i/>
          <w:lang w:eastAsia="ar-SA"/>
        </w:rPr>
        <w:t>Tabula Nr.1 “2014.-2020.gada plānošanas periods: ES fondu līdzfinansējuma maksājumu plāna izpilde 2016.gadā, euro.”</w:t>
      </w:r>
    </w:p>
    <w:tbl>
      <w:tblPr>
        <w:tblpPr w:leftFromText="180" w:rightFromText="180" w:vertAnchor="text" w:tblpY="1"/>
        <w:tblOverlap w:val="never"/>
        <w:tblW w:w="9062" w:type="dxa"/>
        <w:tblLayout w:type="fixed"/>
        <w:tblLook w:val="04A0" w:firstRow="1" w:lastRow="0" w:firstColumn="1" w:lastColumn="0" w:noHBand="0" w:noVBand="1"/>
      </w:tblPr>
      <w:tblGrid>
        <w:gridCol w:w="1985"/>
        <w:gridCol w:w="1266"/>
        <w:gridCol w:w="1275"/>
        <w:gridCol w:w="851"/>
        <w:gridCol w:w="1417"/>
        <w:gridCol w:w="709"/>
        <w:gridCol w:w="1559"/>
      </w:tblGrid>
      <w:tr w:rsidR="00D06A41" w:rsidRPr="009E245B" w14:paraId="5F36473C" w14:textId="77777777" w:rsidTr="00EE1A65">
        <w:trPr>
          <w:trHeight w:val="435"/>
        </w:trPr>
        <w:tc>
          <w:tcPr>
            <w:tcW w:w="198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CE96FEE"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Prioritārais virziens</w:t>
            </w:r>
          </w:p>
        </w:tc>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277BEA6"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Plāns 2016.gadam kopā</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6D9C132"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Faktiskā izpilde 01.01.2016. - 01.01.2017.</w:t>
            </w:r>
          </w:p>
        </w:tc>
        <w:tc>
          <w:tcPr>
            <w:tcW w:w="2268" w:type="dxa"/>
            <w:gridSpan w:val="2"/>
            <w:tcBorders>
              <w:top w:val="single" w:sz="8" w:space="0" w:color="auto"/>
              <w:left w:val="nil"/>
              <w:bottom w:val="single" w:sz="4" w:space="0" w:color="auto"/>
              <w:right w:val="single" w:sz="8" w:space="0" w:color="000000"/>
            </w:tcBorders>
            <w:shd w:val="clear" w:color="000000" w:fill="D9D9D9"/>
            <w:vAlign w:val="center"/>
            <w:hideMark/>
          </w:tcPr>
          <w:p w14:paraId="6AD55B4D"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Līdz 01.01.2017.</w:t>
            </w:r>
          </w:p>
        </w:tc>
        <w:tc>
          <w:tcPr>
            <w:tcW w:w="2268" w:type="dxa"/>
            <w:gridSpan w:val="2"/>
            <w:tcBorders>
              <w:top w:val="single" w:sz="8" w:space="0" w:color="auto"/>
              <w:left w:val="nil"/>
              <w:bottom w:val="single" w:sz="4" w:space="0" w:color="auto"/>
              <w:right w:val="single" w:sz="8" w:space="0" w:color="000000"/>
            </w:tcBorders>
            <w:shd w:val="clear" w:color="000000" w:fill="D9D9D9"/>
            <w:vAlign w:val="center"/>
            <w:hideMark/>
          </w:tcPr>
          <w:p w14:paraId="161C8566"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Iepriekšējā mēnesī</w:t>
            </w:r>
          </w:p>
        </w:tc>
      </w:tr>
      <w:tr w:rsidR="00D06A41" w:rsidRPr="009E245B" w14:paraId="521B8C13" w14:textId="77777777" w:rsidTr="00EE1A65">
        <w:trPr>
          <w:trHeight w:val="860"/>
        </w:trPr>
        <w:tc>
          <w:tcPr>
            <w:tcW w:w="1985" w:type="dxa"/>
            <w:vMerge/>
            <w:tcBorders>
              <w:top w:val="single" w:sz="8" w:space="0" w:color="auto"/>
              <w:left w:val="single" w:sz="8" w:space="0" w:color="auto"/>
              <w:bottom w:val="single" w:sz="8" w:space="0" w:color="000000"/>
              <w:right w:val="single" w:sz="8" w:space="0" w:color="auto"/>
            </w:tcBorders>
            <w:vAlign w:val="center"/>
            <w:hideMark/>
          </w:tcPr>
          <w:p w14:paraId="4057B6F1" w14:textId="77777777" w:rsidR="00D06A41" w:rsidRPr="009E245B" w:rsidRDefault="00D06A41" w:rsidP="00BC66BB">
            <w:pPr>
              <w:rPr>
                <w:rFonts w:eastAsia="Times New Roman" w:cs="Times New Roman"/>
                <w:b/>
                <w:bCs/>
                <w:color w:val="000000"/>
                <w:sz w:val="18"/>
                <w:szCs w:val="18"/>
                <w:lang w:eastAsia="lv-LV"/>
              </w:rPr>
            </w:pPr>
          </w:p>
        </w:tc>
        <w:tc>
          <w:tcPr>
            <w:tcW w:w="1266" w:type="dxa"/>
            <w:vMerge/>
            <w:tcBorders>
              <w:top w:val="single" w:sz="8" w:space="0" w:color="auto"/>
              <w:left w:val="single" w:sz="8" w:space="0" w:color="auto"/>
              <w:bottom w:val="single" w:sz="8" w:space="0" w:color="000000"/>
              <w:right w:val="single" w:sz="8" w:space="0" w:color="auto"/>
            </w:tcBorders>
            <w:vAlign w:val="center"/>
            <w:hideMark/>
          </w:tcPr>
          <w:p w14:paraId="001215D8" w14:textId="77777777" w:rsidR="00D06A41" w:rsidRPr="009E245B" w:rsidRDefault="00D06A41" w:rsidP="00BC66BB">
            <w:pPr>
              <w:rPr>
                <w:rFonts w:eastAsia="Times New Roman" w:cs="Times New Roman"/>
                <w:b/>
                <w:bCs/>
                <w:color w:val="000000"/>
                <w:sz w:val="18"/>
                <w:szCs w:val="18"/>
                <w:lang w:eastAsia="lv-LV"/>
              </w:rPr>
            </w:pPr>
          </w:p>
        </w:tc>
        <w:tc>
          <w:tcPr>
            <w:tcW w:w="1275" w:type="dxa"/>
            <w:vMerge/>
            <w:tcBorders>
              <w:top w:val="single" w:sz="8" w:space="0" w:color="auto"/>
              <w:left w:val="single" w:sz="8" w:space="0" w:color="auto"/>
              <w:bottom w:val="single" w:sz="8" w:space="0" w:color="000000"/>
              <w:right w:val="single" w:sz="4" w:space="0" w:color="auto"/>
            </w:tcBorders>
            <w:vAlign w:val="center"/>
            <w:hideMark/>
          </w:tcPr>
          <w:p w14:paraId="50DCAE39" w14:textId="77777777" w:rsidR="00D06A41" w:rsidRPr="009E245B" w:rsidRDefault="00D06A41" w:rsidP="00BC66BB">
            <w:pPr>
              <w:rPr>
                <w:rFonts w:eastAsia="Times New Roman" w:cs="Times New Roman"/>
                <w:b/>
                <w:bCs/>
                <w:color w:val="000000"/>
                <w:sz w:val="18"/>
                <w:szCs w:val="18"/>
                <w:lang w:eastAsia="lv-LV"/>
              </w:rPr>
            </w:pP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14A7BC"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Izpilde,%</w:t>
            </w:r>
          </w:p>
        </w:tc>
        <w:tc>
          <w:tcPr>
            <w:tcW w:w="14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73B568"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Neizpilde (-)</w:t>
            </w:r>
          </w:p>
          <w:p w14:paraId="5E033603" w14:textId="77777777" w:rsidR="00D06A41" w:rsidRPr="009E245B" w:rsidRDefault="00D06A41" w:rsidP="00BC66BB">
            <w:pP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/pārpilde(+)</w:t>
            </w:r>
          </w:p>
        </w:tc>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3C0C1F"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Izpilde,%</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A9E4D7"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Neizpilde (-)</w:t>
            </w:r>
          </w:p>
          <w:p w14:paraId="1EBCF54F"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/pārpilde(+)</w:t>
            </w:r>
          </w:p>
        </w:tc>
      </w:tr>
      <w:tr w:rsidR="00D06A41" w:rsidRPr="009E245B" w14:paraId="4C175981"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05D98D79"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1.Pētniecība, tehnoloģijas, inovācijas</w:t>
            </w:r>
          </w:p>
        </w:tc>
        <w:tc>
          <w:tcPr>
            <w:tcW w:w="1266" w:type="dxa"/>
            <w:tcBorders>
              <w:top w:val="nil"/>
              <w:left w:val="nil"/>
              <w:bottom w:val="single" w:sz="8" w:space="0" w:color="auto"/>
              <w:right w:val="single" w:sz="8" w:space="0" w:color="auto"/>
            </w:tcBorders>
            <w:shd w:val="clear" w:color="auto" w:fill="auto"/>
            <w:noWrap/>
            <w:vAlign w:val="center"/>
            <w:hideMark/>
          </w:tcPr>
          <w:p w14:paraId="061502E6"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11 137 430</w:t>
            </w:r>
          </w:p>
        </w:tc>
        <w:tc>
          <w:tcPr>
            <w:tcW w:w="1275" w:type="dxa"/>
            <w:tcBorders>
              <w:top w:val="nil"/>
              <w:left w:val="nil"/>
              <w:bottom w:val="single" w:sz="8" w:space="0" w:color="auto"/>
              <w:right w:val="single" w:sz="8" w:space="0" w:color="auto"/>
            </w:tcBorders>
            <w:shd w:val="clear" w:color="auto" w:fill="auto"/>
            <w:vAlign w:val="center"/>
            <w:hideMark/>
          </w:tcPr>
          <w:p w14:paraId="6F1CDDE9"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1 294 748</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417A21DD"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11,6</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0571FC9F"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-9 842 682</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00F5115E"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8,5</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54A80010"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-7 975 247</w:t>
            </w:r>
          </w:p>
        </w:tc>
      </w:tr>
      <w:tr w:rsidR="00D06A41" w:rsidRPr="009E245B" w14:paraId="71FDBDEF"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6D17A30"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 xml:space="preserve">2.IKT , e-pārvalde </w:t>
            </w:r>
          </w:p>
        </w:tc>
        <w:tc>
          <w:tcPr>
            <w:tcW w:w="1266" w:type="dxa"/>
            <w:tcBorders>
              <w:top w:val="nil"/>
              <w:left w:val="nil"/>
              <w:bottom w:val="single" w:sz="8" w:space="0" w:color="auto"/>
              <w:right w:val="single" w:sz="8" w:space="0" w:color="auto"/>
            </w:tcBorders>
            <w:shd w:val="clear" w:color="auto" w:fill="auto"/>
            <w:noWrap/>
            <w:vAlign w:val="center"/>
            <w:hideMark/>
          </w:tcPr>
          <w:p w14:paraId="1D49527D"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9 340 843</w:t>
            </w:r>
          </w:p>
        </w:tc>
        <w:tc>
          <w:tcPr>
            <w:tcW w:w="1275" w:type="dxa"/>
            <w:tcBorders>
              <w:top w:val="nil"/>
              <w:left w:val="nil"/>
              <w:bottom w:val="single" w:sz="8" w:space="0" w:color="auto"/>
              <w:right w:val="single" w:sz="8" w:space="0" w:color="auto"/>
            </w:tcBorders>
            <w:shd w:val="clear" w:color="auto" w:fill="auto"/>
            <w:vAlign w:val="center"/>
            <w:hideMark/>
          </w:tcPr>
          <w:p w14:paraId="20EE5117"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19 993</w:t>
            </w:r>
          </w:p>
        </w:tc>
        <w:tc>
          <w:tcPr>
            <w:tcW w:w="851" w:type="dxa"/>
            <w:tcBorders>
              <w:top w:val="nil"/>
              <w:left w:val="nil"/>
              <w:bottom w:val="single" w:sz="8" w:space="0" w:color="auto"/>
              <w:right w:val="single" w:sz="8" w:space="0" w:color="auto"/>
            </w:tcBorders>
            <w:shd w:val="clear" w:color="auto" w:fill="auto"/>
            <w:noWrap/>
            <w:vAlign w:val="center"/>
            <w:hideMark/>
          </w:tcPr>
          <w:p w14:paraId="71A9A45D"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0,2</w:t>
            </w:r>
          </w:p>
        </w:tc>
        <w:tc>
          <w:tcPr>
            <w:tcW w:w="1417" w:type="dxa"/>
            <w:tcBorders>
              <w:top w:val="nil"/>
              <w:left w:val="nil"/>
              <w:bottom w:val="single" w:sz="8" w:space="0" w:color="auto"/>
              <w:right w:val="single" w:sz="8" w:space="0" w:color="auto"/>
            </w:tcBorders>
            <w:shd w:val="clear" w:color="auto" w:fill="auto"/>
            <w:vAlign w:val="center"/>
            <w:hideMark/>
          </w:tcPr>
          <w:p w14:paraId="141368CB"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-9 320 850</w:t>
            </w:r>
          </w:p>
        </w:tc>
        <w:tc>
          <w:tcPr>
            <w:tcW w:w="709" w:type="dxa"/>
            <w:tcBorders>
              <w:top w:val="nil"/>
              <w:left w:val="nil"/>
              <w:bottom w:val="single" w:sz="8" w:space="0" w:color="auto"/>
              <w:right w:val="single" w:sz="8" w:space="0" w:color="auto"/>
            </w:tcBorders>
            <w:shd w:val="clear" w:color="auto" w:fill="auto"/>
            <w:vAlign w:val="center"/>
            <w:hideMark/>
          </w:tcPr>
          <w:p w14:paraId="47A7E187"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0,0</w:t>
            </w:r>
          </w:p>
        </w:tc>
        <w:tc>
          <w:tcPr>
            <w:tcW w:w="1559" w:type="dxa"/>
            <w:tcBorders>
              <w:top w:val="nil"/>
              <w:left w:val="nil"/>
              <w:bottom w:val="single" w:sz="8" w:space="0" w:color="auto"/>
              <w:right w:val="single" w:sz="8" w:space="0" w:color="auto"/>
            </w:tcBorders>
            <w:shd w:val="clear" w:color="auto" w:fill="auto"/>
            <w:vAlign w:val="center"/>
            <w:hideMark/>
          </w:tcPr>
          <w:p w14:paraId="0E83D136"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-2 689 753</w:t>
            </w:r>
          </w:p>
        </w:tc>
      </w:tr>
      <w:tr w:rsidR="00D06A41" w:rsidRPr="009E245B" w14:paraId="0698AFA0"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E6C784E"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3.MVU konkurētspēja</w:t>
            </w:r>
          </w:p>
        </w:tc>
        <w:tc>
          <w:tcPr>
            <w:tcW w:w="1266" w:type="dxa"/>
            <w:tcBorders>
              <w:top w:val="nil"/>
              <w:left w:val="nil"/>
              <w:bottom w:val="single" w:sz="8" w:space="0" w:color="auto"/>
              <w:right w:val="single" w:sz="8" w:space="0" w:color="auto"/>
            </w:tcBorders>
            <w:shd w:val="clear" w:color="auto" w:fill="auto"/>
            <w:noWrap/>
            <w:vAlign w:val="center"/>
            <w:hideMark/>
          </w:tcPr>
          <w:p w14:paraId="12501331"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30 075 247</w:t>
            </w:r>
          </w:p>
        </w:tc>
        <w:tc>
          <w:tcPr>
            <w:tcW w:w="1275" w:type="dxa"/>
            <w:tcBorders>
              <w:top w:val="nil"/>
              <w:left w:val="nil"/>
              <w:bottom w:val="single" w:sz="8" w:space="0" w:color="auto"/>
              <w:right w:val="single" w:sz="8" w:space="0" w:color="auto"/>
            </w:tcBorders>
            <w:shd w:val="clear" w:color="auto" w:fill="auto"/>
            <w:vAlign w:val="center"/>
            <w:hideMark/>
          </w:tcPr>
          <w:p w14:paraId="24FD03E3"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37 248 046</w:t>
            </w:r>
          </w:p>
        </w:tc>
        <w:tc>
          <w:tcPr>
            <w:tcW w:w="851" w:type="dxa"/>
            <w:tcBorders>
              <w:top w:val="nil"/>
              <w:left w:val="nil"/>
              <w:bottom w:val="single" w:sz="8" w:space="0" w:color="auto"/>
              <w:right w:val="single" w:sz="8" w:space="0" w:color="auto"/>
            </w:tcBorders>
            <w:shd w:val="clear" w:color="auto" w:fill="auto"/>
            <w:noWrap/>
            <w:vAlign w:val="center"/>
            <w:hideMark/>
          </w:tcPr>
          <w:p w14:paraId="198AE113"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123,8</w:t>
            </w:r>
          </w:p>
        </w:tc>
        <w:tc>
          <w:tcPr>
            <w:tcW w:w="1417" w:type="dxa"/>
            <w:tcBorders>
              <w:top w:val="nil"/>
              <w:left w:val="nil"/>
              <w:bottom w:val="single" w:sz="8" w:space="0" w:color="auto"/>
              <w:right w:val="single" w:sz="8" w:space="0" w:color="auto"/>
            </w:tcBorders>
            <w:shd w:val="clear" w:color="auto" w:fill="auto"/>
            <w:vAlign w:val="center"/>
            <w:hideMark/>
          </w:tcPr>
          <w:p w14:paraId="7FE965EC"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7 172 798</w:t>
            </w:r>
          </w:p>
        </w:tc>
        <w:tc>
          <w:tcPr>
            <w:tcW w:w="709" w:type="dxa"/>
            <w:tcBorders>
              <w:top w:val="nil"/>
              <w:left w:val="nil"/>
              <w:bottom w:val="single" w:sz="8" w:space="0" w:color="auto"/>
              <w:right w:val="single" w:sz="8" w:space="0" w:color="auto"/>
            </w:tcBorders>
            <w:shd w:val="clear" w:color="auto" w:fill="auto"/>
            <w:vAlign w:val="center"/>
            <w:hideMark/>
          </w:tcPr>
          <w:p w14:paraId="37F80EA3"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126,5</w:t>
            </w:r>
          </w:p>
        </w:tc>
        <w:tc>
          <w:tcPr>
            <w:tcW w:w="1559" w:type="dxa"/>
            <w:tcBorders>
              <w:top w:val="nil"/>
              <w:left w:val="nil"/>
              <w:bottom w:val="single" w:sz="8" w:space="0" w:color="auto"/>
              <w:right w:val="single" w:sz="8" w:space="0" w:color="auto"/>
            </w:tcBorders>
            <w:shd w:val="clear" w:color="auto" w:fill="auto"/>
            <w:vAlign w:val="center"/>
            <w:hideMark/>
          </w:tcPr>
          <w:p w14:paraId="42565F74"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6 622 237</w:t>
            </w:r>
          </w:p>
        </w:tc>
      </w:tr>
      <w:tr w:rsidR="00D06A41" w:rsidRPr="009E245B" w14:paraId="3D1DA3BA"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A962F5E"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 xml:space="preserve">4. Ekonomika ar zemu oglekļa emisijas līmeni </w:t>
            </w:r>
          </w:p>
        </w:tc>
        <w:tc>
          <w:tcPr>
            <w:tcW w:w="1266" w:type="dxa"/>
            <w:tcBorders>
              <w:top w:val="nil"/>
              <w:left w:val="nil"/>
              <w:bottom w:val="single" w:sz="8" w:space="0" w:color="auto"/>
              <w:right w:val="single" w:sz="8" w:space="0" w:color="auto"/>
            </w:tcBorders>
            <w:shd w:val="clear" w:color="auto" w:fill="auto"/>
            <w:noWrap/>
            <w:vAlign w:val="center"/>
            <w:hideMark/>
          </w:tcPr>
          <w:p w14:paraId="5EA4035C"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19 368 881</w:t>
            </w:r>
          </w:p>
        </w:tc>
        <w:tc>
          <w:tcPr>
            <w:tcW w:w="1275" w:type="dxa"/>
            <w:tcBorders>
              <w:top w:val="nil"/>
              <w:left w:val="nil"/>
              <w:bottom w:val="single" w:sz="8" w:space="0" w:color="auto"/>
              <w:right w:val="single" w:sz="8" w:space="0" w:color="auto"/>
            </w:tcBorders>
            <w:shd w:val="clear" w:color="auto" w:fill="auto"/>
            <w:vAlign w:val="center"/>
            <w:hideMark/>
          </w:tcPr>
          <w:p w14:paraId="5521D4EF"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4 731 810</w:t>
            </w:r>
          </w:p>
        </w:tc>
        <w:tc>
          <w:tcPr>
            <w:tcW w:w="851" w:type="dxa"/>
            <w:tcBorders>
              <w:top w:val="nil"/>
              <w:left w:val="nil"/>
              <w:bottom w:val="single" w:sz="8" w:space="0" w:color="auto"/>
              <w:right w:val="single" w:sz="8" w:space="0" w:color="auto"/>
            </w:tcBorders>
            <w:shd w:val="clear" w:color="auto" w:fill="auto"/>
            <w:noWrap/>
            <w:vAlign w:val="center"/>
            <w:hideMark/>
          </w:tcPr>
          <w:p w14:paraId="0DF2BFFA"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24,4</w:t>
            </w:r>
          </w:p>
        </w:tc>
        <w:tc>
          <w:tcPr>
            <w:tcW w:w="1417" w:type="dxa"/>
            <w:tcBorders>
              <w:top w:val="nil"/>
              <w:left w:val="nil"/>
              <w:bottom w:val="single" w:sz="8" w:space="0" w:color="auto"/>
              <w:right w:val="single" w:sz="8" w:space="0" w:color="auto"/>
            </w:tcBorders>
            <w:shd w:val="clear" w:color="auto" w:fill="auto"/>
            <w:vAlign w:val="center"/>
            <w:hideMark/>
          </w:tcPr>
          <w:p w14:paraId="34BB838E"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-14 637 071</w:t>
            </w:r>
          </w:p>
        </w:tc>
        <w:tc>
          <w:tcPr>
            <w:tcW w:w="709" w:type="dxa"/>
            <w:tcBorders>
              <w:top w:val="nil"/>
              <w:left w:val="nil"/>
              <w:bottom w:val="single" w:sz="8" w:space="0" w:color="auto"/>
              <w:right w:val="single" w:sz="8" w:space="0" w:color="auto"/>
            </w:tcBorders>
            <w:shd w:val="clear" w:color="auto" w:fill="auto"/>
            <w:noWrap/>
            <w:vAlign w:val="center"/>
            <w:hideMark/>
          </w:tcPr>
          <w:p w14:paraId="18B2BF19"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38,3</w:t>
            </w:r>
          </w:p>
        </w:tc>
        <w:tc>
          <w:tcPr>
            <w:tcW w:w="1559" w:type="dxa"/>
            <w:tcBorders>
              <w:top w:val="nil"/>
              <w:left w:val="nil"/>
              <w:bottom w:val="single" w:sz="8" w:space="0" w:color="auto"/>
              <w:right w:val="single" w:sz="8" w:space="0" w:color="auto"/>
            </w:tcBorders>
            <w:shd w:val="clear" w:color="auto" w:fill="auto"/>
            <w:vAlign w:val="center"/>
            <w:hideMark/>
          </w:tcPr>
          <w:p w14:paraId="1C59D3C3"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-7 609 672</w:t>
            </w:r>
          </w:p>
        </w:tc>
      </w:tr>
      <w:tr w:rsidR="00D06A41" w:rsidRPr="009E245B" w14:paraId="36332F76"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351EDFC7"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5.Vides aizsardzība un resursu izmantošanas efektivitāte</w:t>
            </w:r>
          </w:p>
        </w:tc>
        <w:tc>
          <w:tcPr>
            <w:tcW w:w="1266" w:type="dxa"/>
            <w:tcBorders>
              <w:top w:val="nil"/>
              <w:left w:val="nil"/>
              <w:bottom w:val="single" w:sz="8" w:space="0" w:color="auto"/>
              <w:right w:val="single" w:sz="8" w:space="0" w:color="auto"/>
            </w:tcBorders>
            <w:shd w:val="clear" w:color="auto" w:fill="auto"/>
            <w:noWrap/>
            <w:vAlign w:val="center"/>
            <w:hideMark/>
          </w:tcPr>
          <w:p w14:paraId="7C7B9A86"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27 324 058</w:t>
            </w:r>
          </w:p>
        </w:tc>
        <w:tc>
          <w:tcPr>
            <w:tcW w:w="1275" w:type="dxa"/>
            <w:tcBorders>
              <w:top w:val="nil"/>
              <w:left w:val="nil"/>
              <w:bottom w:val="single" w:sz="8" w:space="0" w:color="auto"/>
              <w:right w:val="single" w:sz="8" w:space="0" w:color="auto"/>
            </w:tcBorders>
            <w:shd w:val="clear" w:color="auto" w:fill="auto"/>
            <w:vAlign w:val="center"/>
            <w:hideMark/>
          </w:tcPr>
          <w:p w14:paraId="2CE40097"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902 712</w:t>
            </w:r>
          </w:p>
        </w:tc>
        <w:tc>
          <w:tcPr>
            <w:tcW w:w="851" w:type="dxa"/>
            <w:tcBorders>
              <w:top w:val="nil"/>
              <w:left w:val="nil"/>
              <w:bottom w:val="single" w:sz="8" w:space="0" w:color="auto"/>
              <w:right w:val="single" w:sz="8" w:space="0" w:color="auto"/>
            </w:tcBorders>
            <w:shd w:val="clear" w:color="auto" w:fill="auto"/>
            <w:noWrap/>
            <w:vAlign w:val="center"/>
            <w:hideMark/>
          </w:tcPr>
          <w:p w14:paraId="41F768B6"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3,3</w:t>
            </w:r>
          </w:p>
        </w:tc>
        <w:tc>
          <w:tcPr>
            <w:tcW w:w="1417" w:type="dxa"/>
            <w:tcBorders>
              <w:top w:val="nil"/>
              <w:left w:val="nil"/>
              <w:bottom w:val="single" w:sz="8" w:space="0" w:color="auto"/>
              <w:right w:val="single" w:sz="8" w:space="0" w:color="auto"/>
            </w:tcBorders>
            <w:shd w:val="clear" w:color="auto" w:fill="auto"/>
            <w:vAlign w:val="center"/>
            <w:hideMark/>
          </w:tcPr>
          <w:p w14:paraId="4B78EF60"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-26 421 346</w:t>
            </w:r>
          </w:p>
        </w:tc>
        <w:tc>
          <w:tcPr>
            <w:tcW w:w="709" w:type="dxa"/>
            <w:tcBorders>
              <w:top w:val="nil"/>
              <w:left w:val="nil"/>
              <w:bottom w:val="single" w:sz="8" w:space="0" w:color="auto"/>
              <w:right w:val="single" w:sz="8" w:space="0" w:color="auto"/>
            </w:tcBorders>
            <w:shd w:val="clear" w:color="auto" w:fill="auto"/>
            <w:noWrap/>
            <w:vAlign w:val="center"/>
            <w:hideMark/>
          </w:tcPr>
          <w:p w14:paraId="798406DF"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5,0</w:t>
            </w:r>
          </w:p>
        </w:tc>
        <w:tc>
          <w:tcPr>
            <w:tcW w:w="1559" w:type="dxa"/>
            <w:tcBorders>
              <w:top w:val="nil"/>
              <w:left w:val="nil"/>
              <w:bottom w:val="single" w:sz="8" w:space="0" w:color="auto"/>
              <w:right w:val="single" w:sz="8" w:space="0" w:color="auto"/>
            </w:tcBorders>
            <w:shd w:val="clear" w:color="auto" w:fill="auto"/>
            <w:vAlign w:val="center"/>
            <w:hideMark/>
          </w:tcPr>
          <w:p w14:paraId="59088069"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-17 116 188</w:t>
            </w:r>
          </w:p>
        </w:tc>
      </w:tr>
      <w:tr w:rsidR="00D06A41" w:rsidRPr="009E245B" w14:paraId="22B56B2C"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64B08A3F"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6.Ilgtspējīgs transports</w:t>
            </w:r>
          </w:p>
        </w:tc>
        <w:tc>
          <w:tcPr>
            <w:tcW w:w="1266" w:type="dxa"/>
            <w:tcBorders>
              <w:top w:val="nil"/>
              <w:left w:val="nil"/>
              <w:bottom w:val="single" w:sz="8" w:space="0" w:color="auto"/>
              <w:right w:val="single" w:sz="8" w:space="0" w:color="auto"/>
            </w:tcBorders>
            <w:shd w:val="clear" w:color="auto" w:fill="auto"/>
            <w:noWrap/>
            <w:vAlign w:val="center"/>
            <w:hideMark/>
          </w:tcPr>
          <w:p w14:paraId="63B47E8F"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152 749 691</w:t>
            </w:r>
          </w:p>
        </w:tc>
        <w:tc>
          <w:tcPr>
            <w:tcW w:w="1275" w:type="dxa"/>
            <w:tcBorders>
              <w:top w:val="nil"/>
              <w:left w:val="nil"/>
              <w:bottom w:val="single" w:sz="8" w:space="0" w:color="auto"/>
              <w:right w:val="single" w:sz="8" w:space="0" w:color="auto"/>
            </w:tcBorders>
            <w:shd w:val="clear" w:color="auto" w:fill="auto"/>
            <w:vAlign w:val="center"/>
            <w:hideMark/>
          </w:tcPr>
          <w:p w14:paraId="1E680E77"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108 484 821</w:t>
            </w:r>
          </w:p>
        </w:tc>
        <w:tc>
          <w:tcPr>
            <w:tcW w:w="851" w:type="dxa"/>
            <w:tcBorders>
              <w:top w:val="nil"/>
              <w:left w:val="nil"/>
              <w:bottom w:val="single" w:sz="8" w:space="0" w:color="auto"/>
              <w:right w:val="single" w:sz="8" w:space="0" w:color="auto"/>
            </w:tcBorders>
            <w:shd w:val="clear" w:color="auto" w:fill="auto"/>
            <w:noWrap/>
            <w:vAlign w:val="center"/>
            <w:hideMark/>
          </w:tcPr>
          <w:p w14:paraId="18FFAEE5"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71,0</w:t>
            </w:r>
          </w:p>
        </w:tc>
        <w:tc>
          <w:tcPr>
            <w:tcW w:w="1417" w:type="dxa"/>
            <w:tcBorders>
              <w:top w:val="nil"/>
              <w:left w:val="nil"/>
              <w:bottom w:val="single" w:sz="8" w:space="0" w:color="auto"/>
              <w:right w:val="single" w:sz="8" w:space="0" w:color="auto"/>
            </w:tcBorders>
            <w:shd w:val="clear" w:color="auto" w:fill="auto"/>
            <w:vAlign w:val="center"/>
            <w:hideMark/>
          </w:tcPr>
          <w:p w14:paraId="23E53B7E"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-44 264 870</w:t>
            </w:r>
          </w:p>
        </w:tc>
        <w:tc>
          <w:tcPr>
            <w:tcW w:w="709" w:type="dxa"/>
            <w:tcBorders>
              <w:top w:val="nil"/>
              <w:left w:val="nil"/>
              <w:bottom w:val="single" w:sz="8" w:space="0" w:color="auto"/>
              <w:right w:val="single" w:sz="8" w:space="0" w:color="auto"/>
            </w:tcBorders>
            <w:shd w:val="clear" w:color="auto" w:fill="auto"/>
            <w:noWrap/>
            <w:vAlign w:val="center"/>
            <w:hideMark/>
          </w:tcPr>
          <w:p w14:paraId="2C28225F"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74,6</w:t>
            </w:r>
          </w:p>
        </w:tc>
        <w:tc>
          <w:tcPr>
            <w:tcW w:w="1559" w:type="dxa"/>
            <w:tcBorders>
              <w:top w:val="nil"/>
              <w:left w:val="nil"/>
              <w:bottom w:val="single" w:sz="8" w:space="0" w:color="auto"/>
              <w:right w:val="single" w:sz="8" w:space="0" w:color="auto"/>
            </w:tcBorders>
            <w:shd w:val="clear" w:color="auto" w:fill="auto"/>
            <w:vAlign w:val="center"/>
            <w:hideMark/>
          </w:tcPr>
          <w:p w14:paraId="1ABB68EF"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-34 695 281</w:t>
            </w:r>
          </w:p>
        </w:tc>
      </w:tr>
      <w:tr w:rsidR="00D06A41" w:rsidRPr="009E245B" w14:paraId="3B4A47CD"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4DD425D"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7.Nodarbinātība un darbaspēka mobilitāte</w:t>
            </w:r>
          </w:p>
        </w:tc>
        <w:tc>
          <w:tcPr>
            <w:tcW w:w="1266" w:type="dxa"/>
            <w:tcBorders>
              <w:top w:val="nil"/>
              <w:left w:val="nil"/>
              <w:bottom w:val="single" w:sz="8" w:space="0" w:color="auto"/>
              <w:right w:val="single" w:sz="8" w:space="0" w:color="auto"/>
            </w:tcBorders>
            <w:shd w:val="clear" w:color="auto" w:fill="auto"/>
            <w:noWrap/>
            <w:vAlign w:val="center"/>
            <w:hideMark/>
          </w:tcPr>
          <w:p w14:paraId="5747B948"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31 395 139</w:t>
            </w:r>
          </w:p>
        </w:tc>
        <w:tc>
          <w:tcPr>
            <w:tcW w:w="1275" w:type="dxa"/>
            <w:tcBorders>
              <w:top w:val="nil"/>
              <w:left w:val="nil"/>
              <w:bottom w:val="single" w:sz="8" w:space="0" w:color="auto"/>
              <w:right w:val="single" w:sz="8" w:space="0" w:color="auto"/>
            </w:tcBorders>
            <w:shd w:val="clear" w:color="auto" w:fill="auto"/>
            <w:vAlign w:val="center"/>
            <w:hideMark/>
          </w:tcPr>
          <w:p w14:paraId="759BF4A4"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37 316 486</w:t>
            </w:r>
          </w:p>
        </w:tc>
        <w:tc>
          <w:tcPr>
            <w:tcW w:w="851" w:type="dxa"/>
            <w:tcBorders>
              <w:top w:val="nil"/>
              <w:left w:val="nil"/>
              <w:bottom w:val="single" w:sz="8" w:space="0" w:color="auto"/>
              <w:right w:val="single" w:sz="8" w:space="0" w:color="auto"/>
            </w:tcBorders>
            <w:shd w:val="clear" w:color="auto" w:fill="auto"/>
            <w:noWrap/>
            <w:vAlign w:val="center"/>
            <w:hideMark/>
          </w:tcPr>
          <w:p w14:paraId="7B053096"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118,9</w:t>
            </w:r>
          </w:p>
        </w:tc>
        <w:tc>
          <w:tcPr>
            <w:tcW w:w="1417" w:type="dxa"/>
            <w:tcBorders>
              <w:top w:val="nil"/>
              <w:left w:val="nil"/>
              <w:bottom w:val="single" w:sz="8" w:space="0" w:color="auto"/>
              <w:right w:val="single" w:sz="8" w:space="0" w:color="auto"/>
            </w:tcBorders>
            <w:shd w:val="clear" w:color="auto" w:fill="auto"/>
            <w:vAlign w:val="center"/>
            <w:hideMark/>
          </w:tcPr>
          <w:p w14:paraId="1125D1D2"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5 921 347</w:t>
            </w:r>
          </w:p>
        </w:tc>
        <w:tc>
          <w:tcPr>
            <w:tcW w:w="709" w:type="dxa"/>
            <w:tcBorders>
              <w:top w:val="nil"/>
              <w:left w:val="nil"/>
              <w:bottom w:val="single" w:sz="8" w:space="0" w:color="auto"/>
              <w:right w:val="single" w:sz="8" w:space="0" w:color="auto"/>
            </w:tcBorders>
            <w:shd w:val="clear" w:color="auto" w:fill="auto"/>
            <w:noWrap/>
            <w:vAlign w:val="center"/>
            <w:hideMark/>
          </w:tcPr>
          <w:p w14:paraId="72EF2B58"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126,2</w:t>
            </w:r>
          </w:p>
        </w:tc>
        <w:tc>
          <w:tcPr>
            <w:tcW w:w="1559" w:type="dxa"/>
            <w:tcBorders>
              <w:top w:val="nil"/>
              <w:left w:val="nil"/>
              <w:bottom w:val="single" w:sz="8" w:space="0" w:color="auto"/>
              <w:right w:val="single" w:sz="8" w:space="0" w:color="auto"/>
            </w:tcBorders>
            <w:shd w:val="clear" w:color="auto" w:fill="auto"/>
            <w:vAlign w:val="center"/>
            <w:hideMark/>
          </w:tcPr>
          <w:p w14:paraId="5C5EC8CD"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7 268 388</w:t>
            </w:r>
          </w:p>
        </w:tc>
      </w:tr>
      <w:tr w:rsidR="00D06A41" w:rsidRPr="009E245B" w14:paraId="71C7C074"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BB14975"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8.Izglītība, prasmes un mūžizglītība</w:t>
            </w:r>
          </w:p>
        </w:tc>
        <w:tc>
          <w:tcPr>
            <w:tcW w:w="1266" w:type="dxa"/>
            <w:tcBorders>
              <w:top w:val="nil"/>
              <w:left w:val="nil"/>
              <w:bottom w:val="single" w:sz="8" w:space="0" w:color="auto"/>
              <w:right w:val="single" w:sz="8" w:space="0" w:color="auto"/>
            </w:tcBorders>
            <w:shd w:val="clear" w:color="auto" w:fill="auto"/>
            <w:noWrap/>
            <w:vAlign w:val="center"/>
            <w:hideMark/>
          </w:tcPr>
          <w:p w14:paraId="4B5BDA01"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5 048 340</w:t>
            </w:r>
          </w:p>
        </w:tc>
        <w:tc>
          <w:tcPr>
            <w:tcW w:w="1275" w:type="dxa"/>
            <w:tcBorders>
              <w:top w:val="nil"/>
              <w:left w:val="nil"/>
              <w:bottom w:val="single" w:sz="8" w:space="0" w:color="auto"/>
              <w:right w:val="single" w:sz="8" w:space="0" w:color="auto"/>
            </w:tcBorders>
            <w:shd w:val="clear" w:color="auto" w:fill="auto"/>
            <w:vAlign w:val="center"/>
            <w:hideMark/>
          </w:tcPr>
          <w:p w14:paraId="1DC743AA"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419 093</w:t>
            </w:r>
          </w:p>
        </w:tc>
        <w:tc>
          <w:tcPr>
            <w:tcW w:w="851" w:type="dxa"/>
            <w:tcBorders>
              <w:top w:val="nil"/>
              <w:left w:val="nil"/>
              <w:bottom w:val="single" w:sz="8" w:space="0" w:color="auto"/>
              <w:right w:val="single" w:sz="8" w:space="0" w:color="auto"/>
            </w:tcBorders>
            <w:shd w:val="clear" w:color="auto" w:fill="auto"/>
            <w:noWrap/>
            <w:vAlign w:val="center"/>
            <w:hideMark/>
          </w:tcPr>
          <w:p w14:paraId="007B886F"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8,3</w:t>
            </w:r>
          </w:p>
        </w:tc>
        <w:tc>
          <w:tcPr>
            <w:tcW w:w="1417" w:type="dxa"/>
            <w:tcBorders>
              <w:top w:val="nil"/>
              <w:left w:val="nil"/>
              <w:bottom w:val="single" w:sz="8" w:space="0" w:color="auto"/>
              <w:right w:val="single" w:sz="8" w:space="0" w:color="auto"/>
            </w:tcBorders>
            <w:shd w:val="clear" w:color="auto" w:fill="auto"/>
            <w:vAlign w:val="center"/>
            <w:hideMark/>
          </w:tcPr>
          <w:p w14:paraId="1E2DBC3B"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-4 629 247</w:t>
            </w:r>
          </w:p>
        </w:tc>
        <w:tc>
          <w:tcPr>
            <w:tcW w:w="709" w:type="dxa"/>
            <w:tcBorders>
              <w:top w:val="nil"/>
              <w:left w:val="nil"/>
              <w:bottom w:val="single" w:sz="8" w:space="0" w:color="auto"/>
              <w:right w:val="single" w:sz="8" w:space="0" w:color="auto"/>
            </w:tcBorders>
            <w:shd w:val="clear" w:color="auto" w:fill="auto"/>
            <w:noWrap/>
            <w:vAlign w:val="center"/>
            <w:hideMark/>
          </w:tcPr>
          <w:p w14:paraId="5B9AD5DC"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15,5</w:t>
            </w:r>
          </w:p>
        </w:tc>
        <w:tc>
          <w:tcPr>
            <w:tcW w:w="1559" w:type="dxa"/>
            <w:tcBorders>
              <w:top w:val="nil"/>
              <w:left w:val="nil"/>
              <w:bottom w:val="single" w:sz="8" w:space="0" w:color="auto"/>
              <w:right w:val="single" w:sz="8" w:space="0" w:color="auto"/>
            </w:tcBorders>
            <w:shd w:val="clear" w:color="auto" w:fill="auto"/>
            <w:vAlign w:val="center"/>
            <w:hideMark/>
          </w:tcPr>
          <w:p w14:paraId="5E0B47A0"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-1 813 148</w:t>
            </w:r>
          </w:p>
        </w:tc>
      </w:tr>
      <w:tr w:rsidR="00D06A41" w:rsidRPr="009E245B" w14:paraId="1CE2056C"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72F2199"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9.Sociālā iekļaušana un nabadzības apkarošana</w:t>
            </w:r>
          </w:p>
        </w:tc>
        <w:tc>
          <w:tcPr>
            <w:tcW w:w="1266" w:type="dxa"/>
            <w:tcBorders>
              <w:top w:val="nil"/>
              <w:left w:val="nil"/>
              <w:bottom w:val="single" w:sz="8" w:space="0" w:color="auto"/>
              <w:right w:val="single" w:sz="8" w:space="0" w:color="auto"/>
            </w:tcBorders>
            <w:shd w:val="clear" w:color="auto" w:fill="auto"/>
            <w:noWrap/>
            <w:vAlign w:val="center"/>
            <w:hideMark/>
          </w:tcPr>
          <w:p w14:paraId="06289D03"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16 054 669</w:t>
            </w:r>
          </w:p>
        </w:tc>
        <w:tc>
          <w:tcPr>
            <w:tcW w:w="1275" w:type="dxa"/>
            <w:tcBorders>
              <w:top w:val="nil"/>
              <w:left w:val="nil"/>
              <w:bottom w:val="single" w:sz="8" w:space="0" w:color="auto"/>
              <w:right w:val="single" w:sz="8" w:space="0" w:color="auto"/>
            </w:tcBorders>
            <w:shd w:val="clear" w:color="auto" w:fill="auto"/>
            <w:vAlign w:val="center"/>
            <w:hideMark/>
          </w:tcPr>
          <w:p w14:paraId="5F1C38EE"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5 330 093</w:t>
            </w:r>
          </w:p>
        </w:tc>
        <w:tc>
          <w:tcPr>
            <w:tcW w:w="851" w:type="dxa"/>
            <w:tcBorders>
              <w:top w:val="nil"/>
              <w:left w:val="nil"/>
              <w:bottom w:val="single" w:sz="8" w:space="0" w:color="auto"/>
              <w:right w:val="single" w:sz="8" w:space="0" w:color="auto"/>
            </w:tcBorders>
            <w:shd w:val="clear" w:color="auto" w:fill="auto"/>
            <w:noWrap/>
            <w:vAlign w:val="center"/>
            <w:hideMark/>
          </w:tcPr>
          <w:p w14:paraId="58C0EF2E"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33,2</w:t>
            </w:r>
          </w:p>
        </w:tc>
        <w:tc>
          <w:tcPr>
            <w:tcW w:w="1417" w:type="dxa"/>
            <w:tcBorders>
              <w:top w:val="nil"/>
              <w:left w:val="nil"/>
              <w:bottom w:val="single" w:sz="8" w:space="0" w:color="auto"/>
              <w:right w:val="single" w:sz="8" w:space="0" w:color="auto"/>
            </w:tcBorders>
            <w:shd w:val="clear" w:color="auto" w:fill="auto"/>
            <w:vAlign w:val="center"/>
            <w:hideMark/>
          </w:tcPr>
          <w:p w14:paraId="7CA4A70D"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-10 724 576</w:t>
            </w:r>
          </w:p>
        </w:tc>
        <w:tc>
          <w:tcPr>
            <w:tcW w:w="709" w:type="dxa"/>
            <w:tcBorders>
              <w:top w:val="nil"/>
              <w:left w:val="nil"/>
              <w:bottom w:val="single" w:sz="8" w:space="0" w:color="auto"/>
              <w:right w:val="single" w:sz="8" w:space="0" w:color="auto"/>
            </w:tcBorders>
            <w:shd w:val="clear" w:color="auto" w:fill="auto"/>
            <w:noWrap/>
            <w:vAlign w:val="center"/>
            <w:hideMark/>
          </w:tcPr>
          <w:p w14:paraId="53A99AC7"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27,7</w:t>
            </w:r>
          </w:p>
        </w:tc>
        <w:tc>
          <w:tcPr>
            <w:tcW w:w="1559" w:type="dxa"/>
            <w:tcBorders>
              <w:top w:val="nil"/>
              <w:left w:val="nil"/>
              <w:bottom w:val="single" w:sz="8" w:space="0" w:color="auto"/>
              <w:right w:val="single" w:sz="8" w:space="0" w:color="auto"/>
            </w:tcBorders>
            <w:shd w:val="clear" w:color="auto" w:fill="auto"/>
            <w:vAlign w:val="center"/>
            <w:hideMark/>
          </w:tcPr>
          <w:p w14:paraId="2CA3A447"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-10 392 829</w:t>
            </w:r>
          </w:p>
        </w:tc>
      </w:tr>
      <w:tr w:rsidR="00D06A41" w:rsidRPr="009E245B" w14:paraId="13443A44" w14:textId="77777777" w:rsidTr="00EE1A65">
        <w:trPr>
          <w:trHeight w:val="33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5F6BA9B" w14:textId="77777777" w:rsidR="00D06A41" w:rsidRPr="009E245B" w:rsidRDefault="00D06A41" w:rsidP="00BC66BB">
            <w:pPr>
              <w:rPr>
                <w:rFonts w:eastAsia="Times New Roman" w:cs="Times New Roman"/>
                <w:color w:val="000000"/>
                <w:sz w:val="18"/>
                <w:szCs w:val="18"/>
                <w:lang w:eastAsia="lv-LV"/>
              </w:rPr>
            </w:pPr>
            <w:r w:rsidRPr="009E245B">
              <w:rPr>
                <w:rFonts w:eastAsia="Times New Roman" w:cs="Times New Roman"/>
                <w:color w:val="000000"/>
                <w:sz w:val="18"/>
                <w:szCs w:val="18"/>
                <w:lang w:eastAsia="lv-LV"/>
              </w:rPr>
              <w:t>10.; 11.; 12. Tehniskā palīdzība</w:t>
            </w:r>
          </w:p>
        </w:tc>
        <w:tc>
          <w:tcPr>
            <w:tcW w:w="1266" w:type="dxa"/>
            <w:tcBorders>
              <w:top w:val="nil"/>
              <w:left w:val="nil"/>
              <w:bottom w:val="single" w:sz="8" w:space="0" w:color="auto"/>
              <w:right w:val="single" w:sz="8" w:space="0" w:color="auto"/>
            </w:tcBorders>
            <w:shd w:val="clear" w:color="auto" w:fill="auto"/>
            <w:noWrap/>
            <w:vAlign w:val="center"/>
            <w:hideMark/>
          </w:tcPr>
          <w:p w14:paraId="056192E5" w14:textId="77777777" w:rsidR="00D06A41" w:rsidRPr="009E245B" w:rsidRDefault="00D06A41" w:rsidP="00BC66BB">
            <w:pPr>
              <w:jc w:val="center"/>
              <w:rPr>
                <w:rFonts w:eastAsia="Times New Roman" w:cs="Times New Roman"/>
                <w:color w:val="000000"/>
                <w:sz w:val="18"/>
                <w:szCs w:val="18"/>
                <w:lang w:eastAsia="lv-LV"/>
              </w:rPr>
            </w:pPr>
            <w:r w:rsidRPr="009E245B">
              <w:rPr>
                <w:rFonts w:eastAsia="Times New Roman" w:cs="Times New Roman"/>
                <w:color w:val="000000"/>
                <w:sz w:val="18"/>
                <w:szCs w:val="18"/>
                <w:lang w:eastAsia="lv-LV"/>
              </w:rPr>
              <w:t>12 463 361</w:t>
            </w:r>
          </w:p>
        </w:tc>
        <w:tc>
          <w:tcPr>
            <w:tcW w:w="1275" w:type="dxa"/>
            <w:tcBorders>
              <w:top w:val="nil"/>
              <w:left w:val="nil"/>
              <w:bottom w:val="single" w:sz="8" w:space="0" w:color="auto"/>
              <w:right w:val="single" w:sz="8" w:space="0" w:color="auto"/>
            </w:tcBorders>
            <w:shd w:val="clear" w:color="auto" w:fill="auto"/>
            <w:vAlign w:val="center"/>
            <w:hideMark/>
          </w:tcPr>
          <w:p w14:paraId="0B4D12B8" w14:textId="77777777" w:rsidR="00D06A41" w:rsidRPr="009E245B" w:rsidRDefault="00D06A41" w:rsidP="00BC66BB">
            <w:pPr>
              <w:jc w:val="center"/>
              <w:rPr>
                <w:rFonts w:eastAsia="Times New Roman" w:cs="Times New Roman"/>
                <w:b/>
                <w:color w:val="FF0000"/>
                <w:sz w:val="18"/>
                <w:szCs w:val="18"/>
                <w:lang w:eastAsia="lv-LV"/>
              </w:rPr>
            </w:pPr>
            <w:r w:rsidRPr="009E245B">
              <w:rPr>
                <w:color w:val="000000"/>
                <w:sz w:val="20"/>
                <w:szCs w:val="20"/>
              </w:rPr>
              <w:t>8 531 171</w:t>
            </w:r>
          </w:p>
        </w:tc>
        <w:tc>
          <w:tcPr>
            <w:tcW w:w="851" w:type="dxa"/>
            <w:tcBorders>
              <w:top w:val="nil"/>
              <w:left w:val="nil"/>
              <w:bottom w:val="single" w:sz="8" w:space="0" w:color="auto"/>
              <w:right w:val="single" w:sz="8" w:space="0" w:color="auto"/>
            </w:tcBorders>
            <w:shd w:val="clear" w:color="auto" w:fill="auto"/>
            <w:noWrap/>
            <w:vAlign w:val="center"/>
            <w:hideMark/>
          </w:tcPr>
          <w:p w14:paraId="26D3C0D0"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68,5</w:t>
            </w:r>
          </w:p>
        </w:tc>
        <w:tc>
          <w:tcPr>
            <w:tcW w:w="1417" w:type="dxa"/>
            <w:tcBorders>
              <w:top w:val="nil"/>
              <w:left w:val="nil"/>
              <w:bottom w:val="single" w:sz="8" w:space="0" w:color="auto"/>
              <w:right w:val="single" w:sz="8" w:space="0" w:color="auto"/>
            </w:tcBorders>
            <w:shd w:val="clear" w:color="auto" w:fill="auto"/>
            <w:vAlign w:val="center"/>
            <w:hideMark/>
          </w:tcPr>
          <w:p w14:paraId="2498A63C" w14:textId="77777777" w:rsidR="00D06A41" w:rsidRPr="009E245B" w:rsidRDefault="00D06A41" w:rsidP="00BC66BB">
            <w:pPr>
              <w:jc w:val="center"/>
              <w:rPr>
                <w:rFonts w:eastAsia="Times New Roman" w:cs="Times New Roman"/>
                <w:b/>
                <w:color w:val="FF0000"/>
                <w:sz w:val="18"/>
                <w:szCs w:val="18"/>
                <w:lang w:eastAsia="lv-LV"/>
              </w:rPr>
            </w:pPr>
            <w:r w:rsidRPr="009E245B">
              <w:rPr>
                <w:b/>
                <w:color w:val="FF0000"/>
                <w:sz w:val="20"/>
                <w:szCs w:val="20"/>
              </w:rPr>
              <w:t>-3 932 190</w:t>
            </w:r>
          </w:p>
        </w:tc>
        <w:tc>
          <w:tcPr>
            <w:tcW w:w="709" w:type="dxa"/>
            <w:tcBorders>
              <w:top w:val="nil"/>
              <w:left w:val="nil"/>
              <w:bottom w:val="single" w:sz="8" w:space="0" w:color="auto"/>
              <w:right w:val="single" w:sz="8" w:space="0" w:color="auto"/>
            </w:tcBorders>
            <w:shd w:val="clear" w:color="auto" w:fill="auto"/>
            <w:noWrap/>
            <w:vAlign w:val="center"/>
            <w:hideMark/>
          </w:tcPr>
          <w:p w14:paraId="0F2E07E5"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63,5</w:t>
            </w:r>
          </w:p>
        </w:tc>
        <w:tc>
          <w:tcPr>
            <w:tcW w:w="1559" w:type="dxa"/>
            <w:tcBorders>
              <w:top w:val="nil"/>
              <w:left w:val="nil"/>
              <w:bottom w:val="single" w:sz="8" w:space="0" w:color="auto"/>
              <w:right w:val="single" w:sz="8" w:space="0" w:color="auto"/>
            </w:tcBorders>
            <w:shd w:val="clear" w:color="auto" w:fill="auto"/>
            <w:vAlign w:val="center"/>
            <w:hideMark/>
          </w:tcPr>
          <w:p w14:paraId="73F1833A" w14:textId="77777777" w:rsidR="00D06A41" w:rsidRPr="009E245B" w:rsidRDefault="00D06A41" w:rsidP="00BC66BB">
            <w:pPr>
              <w:jc w:val="center"/>
              <w:rPr>
                <w:rFonts w:eastAsia="Times New Roman" w:cs="Times New Roman"/>
                <w:color w:val="000000"/>
                <w:sz w:val="18"/>
                <w:szCs w:val="18"/>
                <w:lang w:eastAsia="lv-LV"/>
              </w:rPr>
            </w:pPr>
            <w:r w:rsidRPr="009E245B">
              <w:rPr>
                <w:color w:val="000000"/>
                <w:sz w:val="20"/>
                <w:szCs w:val="20"/>
              </w:rPr>
              <w:t>-3 454 598</w:t>
            </w:r>
          </w:p>
        </w:tc>
      </w:tr>
      <w:tr w:rsidR="00D06A41" w:rsidRPr="009E245B" w14:paraId="77716C53" w14:textId="77777777" w:rsidTr="00EE1A65">
        <w:trPr>
          <w:trHeight w:val="330"/>
        </w:trPr>
        <w:tc>
          <w:tcPr>
            <w:tcW w:w="198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B7BEF49" w14:textId="77777777" w:rsidR="00D06A41" w:rsidRPr="009E245B" w:rsidRDefault="00D06A41" w:rsidP="00BC66BB">
            <w:pP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KOPĀ</w:t>
            </w:r>
          </w:p>
        </w:tc>
        <w:tc>
          <w:tcPr>
            <w:tcW w:w="1266" w:type="dxa"/>
            <w:tcBorders>
              <w:top w:val="single" w:sz="8" w:space="0" w:color="auto"/>
              <w:left w:val="nil"/>
              <w:bottom w:val="single" w:sz="4" w:space="0" w:color="auto"/>
              <w:right w:val="single" w:sz="8" w:space="0" w:color="auto"/>
            </w:tcBorders>
            <w:shd w:val="clear" w:color="auto" w:fill="auto"/>
            <w:noWrap/>
            <w:vAlign w:val="center"/>
            <w:hideMark/>
          </w:tcPr>
          <w:p w14:paraId="1C97A049" w14:textId="77777777" w:rsidR="00D06A41" w:rsidRPr="009E245B" w:rsidRDefault="00D06A41" w:rsidP="00BC66BB">
            <w:pPr>
              <w:jc w:val="center"/>
              <w:rPr>
                <w:rFonts w:eastAsia="Times New Roman" w:cs="Times New Roman"/>
                <w:b/>
                <w:bCs/>
                <w:color w:val="000000"/>
                <w:sz w:val="18"/>
                <w:szCs w:val="18"/>
                <w:lang w:eastAsia="lv-LV"/>
              </w:rPr>
            </w:pPr>
            <w:r w:rsidRPr="009E245B">
              <w:rPr>
                <w:rFonts w:eastAsia="Times New Roman" w:cs="Times New Roman"/>
                <w:b/>
                <w:bCs/>
                <w:color w:val="000000"/>
                <w:sz w:val="18"/>
                <w:szCs w:val="18"/>
                <w:lang w:eastAsia="lv-LV"/>
              </w:rPr>
              <w:t>314 957 659</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14:paraId="7FECBF0C" w14:textId="77777777" w:rsidR="00D06A41" w:rsidRPr="009E245B" w:rsidRDefault="00D06A41" w:rsidP="00BC66BB">
            <w:pPr>
              <w:jc w:val="center"/>
              <w:rPr>
                <w:rFonts w:eastAsia="Times New Roman" w:cs="Times New Roman"/>
                <w:b/>
                <w:bCs/>
                <w:color w:val="000000"/>
                <w:sz w:val="18"/>
                <w:szCs w:val="18"/>
                <w:lang w:eastAsia="lv-LV"/>
              </w:rPr>
            </w:pPr>
            <w:r w:rsidRPr="009E245B">
              <w:rPr>
                <w:b/>
                <w:bCs/>
                <w:color w:val="000000"/>
                <w:sz w:val="20"/>
                <w:szCs w:val="20"/>
              </w:rPr>
              <w:t>204 278 972</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386A27D8" w14:textId="77777777" w:rsidR="00D06A41" w:rsidRPr="009E245B" w:rsidRDefault="00D06A41" w:rsidP="00BC66BB">
            <w:pPr>
              <w:jc w:val="center"/>
              <w:rPr>
                <w:rFonts w:eastAsia="Times New Roman" w:cs="Times New Roman"/>
                <w:b/>
                <w:bCs/>
                <w:color w:val="000000"/>
                <w:sz w:val="18"/>
                <w:szCs w:val="18"/>
                <w:lang w:eastAsia="lv-LV"/>
              </w:rPr>
            </w:pPr>
            <w:r w:rsidRPr="009E245B">
              <w:rPr>
                <w:b/>
                <w:bCs/>
                <w:color w:val="000000"/>
                <w:sz w:val="20"/>
                <w:szCs w:val="20"/>
              </w:rPr>
              <w:t>64,9</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5B87664E" w14:textId="77777777" w:rsidR="00D06A41" w:rsidRPr="009E245B" w:rsidRDefault="00D06A41" w:rsidP="00BC66BB">
            <w:pPr>
              <w:jc w:val="center"/>
              <w:rPr>
                <w:rFonts w:eastAsia="Times New Roman" w:cs="Times New Roman"/>
                <w:b/>
                <w:color w:val="000000"/>
                <w:sz w:val="18"/>
                <w:szCs w:val="18"/>
                <w:lang w:eastAsia="lv-LV"/>
              </w:rPr>
            </w:pPr>
            <w:r w:rsidRPr="009E245B">
              <w:rPr>
                <w:b/>
                <w:color w:val="FF0000"/>
                <w:sz w:val="20"/>
                <w:szCs w:val="20"/>
              </w:rPr>
              <w:t>-110 678 687</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746C9A32" w14:textId="77777777" w:rsidR="00D06A41" w:rsidRPr="009E245B" w:rsidRDefault="00D06A41" w:rsidP="00BC66BB">
            <w:pPr>
              <w:jc w:val="center"/>
              <w:rPr>
                <w:rFonts w:eastAsia="Times New Roman" w:cs="Times New Roman"/>
                <w:b/>
                <w:bCs/>
                <w:color w:val="000000"/>
                <w:sz w:val="18"/>
                <w:szCs w:val="18"/>
                <w:lang w:eastAsia="lv-LV"/>
              </w:rPr>
            </w:pPr>
            <w:r w:rsidRPr="009E245B">
              <w:rPr>
                <w:b/>
                <w:bCs/>
                <w:color w:val="000000"/>
                <w:sz w:val="20"/>
                <w:szCs w:val="20"/>
              </w:rPr>
              <w:t>72,1</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05646488" w14:textId="77777777" w:rsidR="00D06A41" w:rsidRPr="009E245B" w:rsidRDefault="00D06A41" w:rsidP="00BC66BB">
            <w:pPr>
              <w:jc w:val="center"/>
              <w:rPr>
                <w:rFonts w:eastAsia="Times New Roman" w:cs="Times New Roman"/>
                <w:b/>
                <w:bCs/>
                <w:color w:val="000000"/>
                <w:sz w:val="18"/>
                <w:szCs w:val="18"/>
                <w:lang w:eastAsia="lv-LV"/>
              </w:rPr>
            </w:pPr>
            <w:r w:rsidRPr="009E245B">
              <w:rPr>
                <w:b/>
                <w:bCs/>
                <w:color w:val="000000"/>
                <w:sz w:val="20"/>
                <w:szCs w:val="20"/>
              </w:rPr>
              <w:t>-71 856 090</w:t>
            </w:r>
          </w:p>
        </w:tc>
      </w:tr>
    </w:tbl>
    <w:p w14:paraId="22F3F36B" w14:textId="77777777" w:rsidR="00C51BB0" w:rsidRPr="009E245B" w:rsidRDefault="00C51BB0" w:rsidP="00E93C16">
      <w:pPr>
        <w:pStyle w:val="ListParagraph"/>
        <w:spacing w:before="120" w:after="120"/>
        <w:ind w:left="0"/>
        <w:jc w:val="both"/>
        <w:rPr>
          <w:rFonts w:eastAsia="Calibri" w:cs="Times New Roman"/>
          <w:sz w:val="28"/>
          <w:szCs w:val="28"/>
          <w:lang w:eastAsia="ar-SA"/>
        </w:rPr>
      </w:pPr>
    </w:p>
    <w:p w14:paraId="51C35298" w14:textId="0B21EF8E" w:rsidR="00C51BB0" w:rsidRPr="009E245B" w:rsidRDefault="00C51BB0" w:rsidP="00E93C16">
      <w:pPr>
        <w:pStyle w:val="ListParagraph"/>
        <w:spacing w:before="120" w:after="120"/>
        <w:ind w:left="0"/>
        <w:jc w:val="both"/>
        <w:rPr>
          <w:rFonts w:eastAsia="Calibri" w:cs="Times New Roman"/>
          <w:b/>
          <w:sz w:val="28"/>
          <w:szCs w:val="28"/>
          <w:lang w:eastAsia="ar-SA"/>
        </w:rPr>
      </w:pPr>
      <w:r w:rsidRPr="009E245B">
        <w:rPr>
          <w:rFonts w:eastAsia="Calibri" w:cs="Times New Roman"/>
          <w:b/>
          <w:sz w:val="28"/>
          <w:szCs w:val="28"/>
          <w:lang w:eastAsia="ar-SA"/>
        </w:rPr>
        <w:lastRenderedPageBreak/>
        <w:t>Riski</w:t>
      </w:r>
    </w:p>
    <w:p w14:paraId="78DF20A3" w14:textId="44651D68" w:rsidR="00C51BB0" w:rsidRPr="009E245B" w:rsidRDefault="00C51BB0" w:rsidP="00C51BB0">
      <w:pPr>
        <w:pStyle w:val="ListParagraph"/>
        <w:numPr>
          <w:ilvl w:val="0"/>
          <w:numId w:val="22"/>
        </w:numPr>
        <w:spacing w:before="120" w:after="120"/>
        <w:ind w:left="0" w:firstLine="0"/>
        <w:jc w:val="both"/>
        <w:rPr>
          <w:rFonts w:eastAsia="Calibri" w:cs="Times New Roman"/>
          <w:sz w:val="28"/>
          <w:szCs w:val="28"/>
          <w:lang w:eastAsia="ar-SA"/>
        </w:rPr>
      </w:pPr>
      <w:r w:rsidRPr="009E245B">
        <w:rPr>
          <w:rFonts w:eastAsia="Calibri" w:cs="Times New Roman"/>
          <w:sz w:val="28"/>
          <w:szCs w:val="28"/>
          <w:lang w:eastAsia="ar-SA"/>
        </w:rPr>
        <w:t>Katrs līdzšinējais investīciju noteikumu izstrādes (skat.2.grafiku) un citu priekšnosacījumu virzības un izpildes kavējums ietekmē turpmākos posmus un</w:t>
      </w:r>
      <w:r w:rsidR="00E93C16" w:rsidRPr="009E245B">
        <w:rPr>
          <w:rFonts w:eastAsia="Calibri" w:cs="Times New Roman"/>
          <w:sz w:val="28"/>
          <w:szCs w:val="28"/>
          <w:lang w:eastAsia="ar-SA"/>
        </w:rPr>
        <w:t>,</w:t>
      </w:r>
      <w:r w:rsidRPr="009E245B">
        <w:rPr>
          <w:rFonts w:eastAsia="Calibri" w:cs="Times New Roman"/>
          <w:sz w:val="28"/>
          <w:szCs w:val="28"/>
          <w:lang w:eastAsia="ar-SA"/>
        </w:rPr>
        <w:t xml:space="preserve"> jo īpaši projektu atlašu uzsākšanu, projektu uzsākšanu un attiecīgi investīciju – naudas plūsmu. Attiecīgi arvien pieaug riski </w:t>
      </w:r>
      <w:r w:rsidR="001C1C6A">
        <w:rPr>
          <w:rFonts w:eastAsia="Calibri" w:cs="Times New Roman"/>
          <w:sz w:val="28"/>
          <w:szCs w:val="28"/>
          <w:lang w:eastAsia="ar-SA"/>
        </w:rPr>
        <w:t xml:space="preserve">Eiropas Komisijas (turpmāk – </w:t>
      </w:r>
      <w:r w:rsidRPr="009E245B">
        <w:rPr>
          <w:rFonts w:eastAsia="Calibri" w:cs="Times New Roman"/>
          <w:sz w:val="28"/>
          <w:szCs w:val="28"/>
          <w:lang w:eastAsia="ar-SA"/>
        </w:rPr>
        <w:t>EK</w:t>
      </w:r>
      <w:r w:rsidR="001C1C6A">
        <w:rPr>
          <w:rFonts w:eastAsia="Calibri" w:cs="Times New Roman"/>
          <w:sz w:val="28"/>
          <w:szCs w:val="28"/>
          <w:lang w:eastAsia="ar-SA"/>
        </w:rPr>
        <w:t>)</w:t>
      </w:r>
      <w:r w:rsidRPr="009E245B">
        <w:rPr>
          <w:rFonts w:eastAsia="Calibri" w:cs="Times New Roman"/>
          <w:sz w:val="28"/>
          <w:szCs w:val="28"/>
          <w:lang w:eastAsia="ar-SA"/>
        </w:rPr>
        <w:t xml:space="preserve"> noteikto finanšu un ieviešanas nosacījumu izpildē, kas var radīt negatīvas sekas ar ES “piešķīruma”  proporcionālu </w:t>
      </w:r>
      <w:r w:rsidR="00E93C16" w:rsidRPr="009E245B">
        <w:rPr>
          <w:rFonts w:eastAsia="Calibri" w:cs="Times New Roman"/>
          <w:sz w:val="28"/>
          <w:szCs w:val="28"/>
          <w:lang w:eastAsia="ar-SA"/>
        </w:rPr>
        <w:t>samazinājumu</w:t>
      </w:r>
      <w:r w:rsidRPr="009E245B">
        <w:rPr>
          <w:rFonts w:eastAsia="Calibri" w:cs="Times New Roman"/>
          <w:sz w:val="28"/>
          <w:szCs w:val="28"/>
          <w:lang w:eastAsia="ar-SA"/>
        </w:rPr>
        <w:t xml:space="preserve"> Latvijai, neizpildot ikgadējos mērķus, jeb snieguma rezerves 6% apmērā zaudēšanu, neizpildot 2018.gada snieguma ietvara mērķus katrai prioritātei.   </w:t>
      </w:r>
    </w:p>
    <w:p w14:paraId="319EA5F3" w14:textId="4800149F" w:rsidR="00EC09E0" w:rsidRPr="009E245B" w:rsidRDefault="004C2839" w:rsidP="003D785B">
      <w:pPr>
        <w:pStyle w:val="ListParagraph"/>
        <w:numPr>
          <w:ilvl w:val="0"/>
          <w:numId w:val="22"/>
        </w:numPr>
        <w:spacing w:before="120" w:after="120"/>
        <w:ind w:left="0" w:firstLine="0"/>
        <w:contextualSpacing w:val="0"/>
        <w:jc w:val="both"/>
        <w:rPr>
          <w:rFonts w:eastAsia="Calibri" w:cs="Times New Roman"/>
          <w:sz w:val="28"/>
          <w:szCs w:val="28"/>
          <w:lang w:eastAsia="ar-SA"/>
        </w:rPr>
      </w:pPr>
      <w:r w:rsidRPr="009E245B">
        <w:rPr>
          <w:rFonts w:cs="Times New Roman"/>
          <w:sz w:val="28"/>
          <w:szCs w:val="28"/>
        </w:rPr>
        <w:t xml:space="preserve">Ņemot vērā </w:t>
      </w:r>
      <w:r w:rsidR="003D785B" w:rsidRPr="009E245B">
        <w:rPr>
          <w:rFonts w:cs="Times New Roman"/>
          <w:sz w:val="28"/>
          <w:szCs w:val="28"/>
        </w:rPr>
        <w:t xml:space="preserve">2016.gada laikā kavēto MK noteikumu apstiprināšanu un attiecīgi vēlāk uzsāktās projektu atlases un vēlāku līgumu slēgšanu, attiecīgi 2016.gadā ievērojami mazāka finanšu plūsma rada negatīvu ietekmi uz prognozēto kumulatīvo finanšu rādītāju izpildi līdz 2017.gada beigām. </w:t>
      </w:r>
      <w:r w:rsidR="009E245B">
        <w:rPr>
          <w:rFonts w:cs="Times New Roman"/>
          <w:sz w:val="28"/>
          <w:szCs w:val="28"/>
        </w:rPr>
        <w:t>FM</w:t>
      </w:r>
      <w:r w:rsidR="000F1127" w:rsidRPr="009E245B">
        <w:rPr>
          <w:rFonts w:cs="Times New Roman"/>
          <w:sz w:val="28"/>
          <w:szCs w:val="28"/>
        </w:rPr>
        <w:t xml:space="preserve"> sadarbībā ar atbildīgajām iestādēm un </w:t>
      </w:r>
      <w:r w:rsidR="009E245B">
        <w:rPr>
          <w:rFonts w:cs="Times New Roman"/>
          <w:sz w:val="28"/>
          <w:szCs w:val="28"/>
        </w:rPr>
        <w:t>Centrālo finanšu un līgumu aģentūru</w:t>
      </w:r>
      <w:r w:rsidR="000F1127" w:rsidRPr="009E245B">
        <w:rPr>
          <w:rFonts w:cs="Times New Roman"/>
          <w:sz w:val="28"/>
          <w:szCs w:val="28"/>
        </w:rPr>
        <w:t xml:space="preserve"> šobrīd analizē a</w:t>
      </w:r>
      <w:r w:rsidR="003D785B" w:rsidRPr="009E245B">
        <w:rPr>
          <w:rFonts w:cs="Times New Roman"/>
          <w:sz w:val="28"/>
          <w:szCs w:val="28"/>
        </w:rPr>
        <w:t>ktuālās operatīvās prognozes</w:t>
      </w:r>
      <w:r w:rsidR="000F1127" w:rsidRPr="009E245B">
        <w:rPr>
          <w:rFonts w:cs="Times New Roman"/>
          <w:sz w:val="28"/>
          <w:szCs w:val="28"/>
        </w:rPr>
        <w:t xml:space="preserve">, to ietekmi un </w:t>
      </w:r>
      <w:r w:rsidR="003D785B" w:rsidRPr="009E245B">
        <w:rPr>
          <w:rFonts w:cs="Times New Roman"/>
          <w:sz w:val="28"/>
          <w:szCs w:val="28"/>
        </w:rPr>
        <w:t>risk</w:t>
      </w:r>
      <w:r w:rsidR="000F1127" w:rsidRPr="009E245B">
        <w:rPr>
          <w:rFonts w:cs="Times New Roman"/>
          <w:sz w:val="28"/>
          <w:szCs w:val="28"/>
        </w:rPr>
        <w:t>u</w:t>
      </w:r>
      <w:r w:rsidR="003D785B" w:rsidRPr="009E245B">
        <w:rPr>
          <w:rFonts w:cs="Times New Roman"/>
          <w:sz w:val="28"/>
          <w:szCs w:val="28"/>
        </w:rPr>
        <w:t xml:space="preserve"> neizpildīt </w:t>
      </w:r>
      <w:r w:rsidR="000F1127" w:rsidRPr="009E245B">
        <w:rPr>
          <w:rFonts w:cs="Times New Roman"/>
          <w:sz w:val="28"/>
          <w:szCs w:val="28"/>
        </w:rPr>
        <w:t xml:space="preserve">ES </w:t>
      </w:r>
      <w:r w:rsidR="007216B2" w:rsidRPr="009E245B">
        <w:rPr>
          <w:rFonts w:cs="Times New Roman"/>
          <w:sz w:val="28"/>
          <w:szCs w:val="28"/>
        </w:rPr>
        <w:t>fond</w:t>
      </w:r>
      <w:r w:rsidR="000F1127" w:rsidRPr="009E245B">
        <w:rPr>
          <w:rFonts w:cs="Times New Roman"/>
          <w:sz w:val="28"/>
          <w:szCs w:val="28"/>
        </w:rPr>
        <w:t>u</w:t>
      </w:r>
      <w:r w:rsidR="008E5CA4" w:rsidRPr="009E245B">
        <w:rPr>
          <w:rFonts w:cs="Times New Roman"/>
          <w:sz w:val="28"/>
          <w:szCs w:val="28"/>
        </w:rPr>
        <w:t xml:space="preserve"> </w:t>
      </w:r>
      <w:r w:rsidR="003D785B" w:rsidRPr="009E245B">
        <w:rPr>
          <w:rFonts w:cs="Times New Roman"/>
          <w:sz w:val="28"/>
          <w:szCs w:val="28"/>
        </w:rPr>
        <w:t xml:space="preserve">investīcijām </w:t>
      </w:r>
      <w:r w:rsidRPr="009E245B">
        <w:rPr>
          <w:rFonts w:cs="Times New Roman"/>
          <w:sz w:val="28"/>
          <w:szCs w:val="28"/>
        </w:rPr>
        <w:t xml:space="preserve">noteikto </w:t>
      </w:r>
      <w:r w:rsidR="003D785B" w:rsidRPr="009E245B">
        <w:rPr>
          <w:rFonts w:cs="Times New Roman"/>
          <w:sz w:val="28"/>
          <w:szCs w:val="28"/>
        </w:rPr>
        <w:t>minimālo finanšu mērķi</w:t>
      </w:r>
      <w:r w:rsidR="000F1127" w:rsidRPr="009E245B">
        <w:rPr>
          <w:rFonts w:cs="Times New Roman"/>
          <w:sz w:val="28"/>
          <w:szCs w:val="28"/>
        </w:rPr>
        <w:t xml:space="preserve"> 2017.gadam un turpmāk</w:t>
      </w:r>
      <w:r w:rsidR="009E245B">
        <w:rPr>
          <w:rFonts w:cs="Times New Roman"/>
          <w:sz w:val="28"/>
          <w:szCs w:val="28"/>
        </w:rPr>
        <w:t>aj</w:t>
      </w:r>
      <w:r w:rsidR="000F1127" w:rsidRPr="009E245B">
        <w:rPr>
          <w:rFonts w:cs="Times New Roman"/>
          <w:sz w:val="28"/>
          <w:szCs w:val="28"/>
        </w:rPr>
        <w:t>iem gadiem</w:t>
      </w:r>
      <w:r w:rsidR="00872911" w:rsidRPr="009E245B">
        <w:rPr>
          <w:rStyle w:val="FootnoteReference"/>
          <w:rFonts w:cs="Times New Roman"/>
          <w:sz w:val="28"/>
          <w:szCs w:val="28"/>
        </w:rPr>
        <w:footnoteReference w:id="7"/>
      </w:r>
      <w:r w:rsidR="000F1127" w:rsidRPr="009E245B">
        <w:rPr>
          <w:rFonts w:cs="Times New Roman"/>
          <w:sz w:val="28"/>
          <w:szCs w:val="28"/>
        </w:rPr>
        <w:t xml:space="preserve">, kā arī vērtē iespējas paātrināt projektu ieviešanu.  </w:t>
      </w:r>
    </w:p>
    <w:p w14:paraId="4DF47689" w14:textId="68FBD577" w:rsidR="000A5AD1" w:rsidRPr="009E245B" w:rsidRDefault="00592804" w:rsidP="00735B40">
      <w:pPr>
        <w:pStyle w:val="ListParagraph"/>
        <w:numPr>
          <w:ilvl w:val="0"/>
          <w:numId w:val="22"/>
        </w:numPr>
        <w:spacing w:before="120" w:after="120"/>
        <w:ind w:left="0" w:firstLine="0"/>
        <w:contextualSpacing w:val="0"/>
        <w:jc w:val="both"/>
        <w:rPr>
          <w:rFonts w:eastAsia="Times New Roman"/>
          <w:bCs/>
          <w:sz w:val="28"/>
          <w:szCs w:val="28"/>
          <w:lang w:eastAsia="lv-LV"/>
        </w:rPr>
      </w:pPr>
      <w:r w:rsidRPr="009E245B">
        <w:rPr>
          <w:rFonts w:eastAsia="Times New Roman"/>
          <w:b/>
          <w:bCs/>
          <w:sz w:val="28"/>
          <w:szCs w:val="28"/>
          <w:lang w:eastAsia="lv-LV"/>
        </w:rPr>
        <w:t>Turpmākie izaicinājumi 2017.gadam</w:t>
      </w:r>
      <w:r w:rsidR="000A5AD1" w:rsidRPr="009E245B">
        <w:rPr>
          <w:rFonts w:eastAsia="Times New Roman"/>
          <w:b/>
          <w:bCs/>
          <w:sz w:val="28"/>
          <w:szCs w:val="28"/>
          <w:lang w:eastAsia="lv-LV"/>
        </w:rPr>
        <w:t>:</w:t>
      </w:r>
    </w:p>
    <w:p w14:paraId="7CE68AC3" w14:textId="23BE0DFE" w:rsidR="00531BA1" w:rsidRPr="009E245B" w:rsidRDefault="00592804" w:rsidP="00D850DF">
      <w:pPr>
        <w:pStyle w:val="ListParagraph"/>
        <w:numPr>
          <w:ilvl w:val="1"/>
          <w:numId w:val="22"/>
        </w:numPr>
        <w:spacing w:before="120" w:after="120"/>
        <w:ind w:left="709" w:hanging="425"/>
        <w:jc w:val="both"/>
        <w:rPr>
          <w:rFonts w:eastAsia="Times New Roman"/>
          <w:bCs/>
          <w:sz w:val="28"/>
          <w:szCs w:val="28"/>
          <w:lang w:eastAsia="lv-LV"/>
        </w:rPr>
      </w:pPr>
      <w:r w:rsidRPr="009E245B">
        <w:rPr>
          <w:rFonts w:eastAsia="Times New Roman"/>
          <w:bCs/>
          <w:sz w:val="28"/>
          <w:szCs w:val="28"/>
          <w:lang w:eastAsia="lv-LV"/>
        </w:rPr>
        <w:t>paātrināt projektu ieviešanu un finanšu plūsmu, vienlaikus nodrošinot efektīvu risku un drošu finanšu pārvaldību ar fokusu uz investīciju rezultātu sasnieg</w:t>
      </w:r>
      <w:r w:rsidR="00EC09E0" w:rsidRPr="009E245B">
        <w:rPr>
          <w:rFonts w:eastAsia="Times New Roman"/>
          <w:bCs/>
          <w:sz w:val="28"/>
          <w:szCs w:val="28"/>
          <w:lang w:eastAsia="lv-LV"/>
        </w:rPr>
        <w:t>šanu</w:t>
      </w:r>
      <w:r w:rsidR="00531BA1" w:rsidRPr="009E245B">
        <w:rPr>
          <w:rFonts w:eastAsia="Times New Roman"/>
          <w:bCs/>
          <w:sz w:val="28"/>
          <w:szCs w:val="28"/>
          <w:lang w:eastAsia="lv-LV"/>
        </w:rPr>
        <w:t>, lai:</w:t>
      </w:r>
    </w:p>
    <w:p w14:paraId="754A2E93" w14:textId="755C8333" w:rsidR="00531BA1" w:rsidRPr="009E245B" w:rsidRDefault="00D850DF" w:rsidP="00D850DF">
      <w:pPr>
        <w:pStyle w:val="ListParagraph"/>
        <w:spacing w:before="120" w:after="120"/>
        <w:ind w:left="709" w:hanging="425"/>
        <w:jc w:val="both"/>
        <w:rPr>
          <w:rFonts w:eastAsia="Times New Roman"/>
          <w:bCs/>
          <w:sz w:val="28"/>
          <w:szCs w:val="28"/>
          <w:lang w:eastAsia="lv-LV"/>
        </w:rPr>
      </w:pPr>
      <w:r w:rsidRPr="009E245B">
        <w:rPr>
          <w:rFonts w:eastAsia="Times New Roman"/>
          <w:bCs/>
          <w:sz w:val="28"/>
          <w:szCs w:val="28"/>
          <w:lang w:eastAsia="lv-LV"/>
        </w:rPr>
        <w:t xml:space="preserve">(1) </w:t>
      </w:r>
      <w:r w:rsidR="00531BA1" w:rsidRPr="009E245B">
        <w:rPr>
          <w:rFonts w:eastAsia="Times New Roman"/>
          <w:bCs/>
          <w:sz w:val="28"/>
          <w:szCs w:val="28"/>
          <w:lang w:eastAsia="lv-LV"/>
        </w:rPr>
        <w:t>nezaudētu ES finansējumu Latvijai 2017.gada beigu finanšu mērķu neizpildes</w:t>
      </w:r>
      <w:r w:rsidR="008E5CA4" w:rsidRPr="009E245B">
        <w:rPr>
          <w:rFonts w:eastAsia="Times New Roman"/>
          <w:bCs/>
          <w:sz w:val="28"/>
          <w:szCs w:val="28"/>
          <w:lang w:eastAsia="lv-LV"/>
        </w:rPr>
        <w:t xml:space="preserve"> dēļ</w:t>
      </w:r>
      <w:r w:rsidR="00531BA1" w:rsidRPr="009E245B">
        <w:rPr>
          <w:rFonts w:eastAsia="Times New Roman"/>
          <w:bCs/>
          <w:sz w:val="28"/>
          <w:szCs w:val="28"/>
          <w:lang w:eastAsia="lv-LV"/>
        </w:rPr>
        <w:t xml:space="preserve">; </w:t>
      </w:r>
    </w:p>
    <w:p w14:paraId="27CB2C3F" w14:textId="49E1345A" w:rsidR="00531BA1" w:rsidRPr="009E245B" w:rsidRDefault="00531BA1" w:rsidP="00D850DF">
      <w:pPr>
        <w:spacing w:before="120" w:after="120"/>
        <w:ind w:left="709" w:hanging="425"/>
        <w:contextualSpacing/>
        <w:jc w:val="both"/>
        <w:rPr>
          <w:rFonts w:eastAsia="Times New Roman"/>
          <w:bCs/>
          <w:sz w:val="28"/>
          <w:szCs w:val="28"/>
          <w:lang w:eastAsia="lv-LV"/>
        </w:rPr>
      </w:pPr>
      <w:r w:rsidRPr="009E245B">
        <w:rPr>
          <w:rFonts w:eastAsia="Times New Roman"/>
          <w:bCs/>
          <w:sz w:val="28"/>
          <w:szCs w:val="28"/>
          <w:lang w:eastAsia="lv-LV"/>
        </w:rPr>
        <w:t>(2) lai saglabātu iespēju izmantot snieguma rezerves finansējumu 6% apmērā katrai prioritātei, izpildot minimālos mērķus, kas note</w:t>
      </w:r>
      <w:r w:rsidR="00AB04DB" w:rsidRPr="009E245B">
        <w:rPr>
          <w:rFonts w:eastAsia="Times New Roman"/>
          <w:bCs/>
          <w:sz w:val="28"/>
          <w:szCs w:val="28"/>
          <w:lang w:eastAsia="lv-LV"/>
        </w:rPr>
        <w:t>i</w:t>
      </w:r>
      <w:r w:rsidRPr="009E245B">
        <w:rPr>
          <w:rFonts w:eastAsia="Times New Roman"/>
          <w:bCs/>
          <w:sz w:val="28"/>
          <w:szCs w:val="28"/>
          <w:lang w:eastAsia="lv-LV"/>
        </w:rPr>
        <w:t>kti līdz 2018.gada beigām</w:t>
      </w:r>
      <w:r w:rsidR="009B0EE9" w:rsidRPr="009E245B">
        <w:rPr>
          <w:vertAlign w:val="superscript"/>
        </w:rPr>
        <w:footnoteReference w:id="8"/>
      </w:r>
      <w:r w:rsidR="00217654" w:rsidRPr="009E245B">
        <w:rPr>
          <w:rFonts w:eastAsia="Times New Roman"/>
          <w:bCs/>
          <w:sz w:val="28"/>
          <w:szCs w:val="28"/>
          <w:lang w:eastAsia="lv-LV"/>
        </w:rPr>
        <w:t xml:space="preserve">. Šis īpaši aktuāli 8.prioritārajā virzienā </w:t>
      </w:r>
      <w:r w:rsidR="008E5CA4" w:rsidRPr="009E245B">
        <w:rPr>
          <w:rFonts w:eastAsia="Times New Roman"/>
          <w:bCs/>
          <w:sz w:val="28"/>
          <w:szCs w:val="28"/>
          <w:lang w:eastAsia="lv-LV"/>
        </w:rPr>
        <w:t>Eiropas Reģionālās attīstības fonda</w:t>
      </w:r>
      <w:r w:rsidR="00255636" w:rsidRPr="009E245B">
        <w:rPr>
          <w:rFonts w:eastAsia="Times New Roman"/>
          <w:bCs/>
          <w:sz w:val="28"/>
          <w:szCs w:val="28"/>
          <w:lang w:eastAsia="lv-LV"/>
        </w:rPr>
        <w:t xml:space="preserve"> un Eiropas Sociālā fonda</w:t>
      </w:r>
      <w:r w:rsidR="00217654" w:rsidRPr="009E245B">
        <w:rPr>
          <w:rFonts w:eastAsia="Times New Roman"/>
          <w:bCs/>
          <w:sz w:val="28"/>
          <w:szCs w:val="28"/>
          <w:lang w:eastAsia="lv-LV"/>
        </w:rPr>
        <w:t xml:space="preserve"> izglītības jomā, kurā ir ievērojama kavēšanās ar investīciju nosacījumu izstrādi un priekšnosacījumu izpildi, t.sk. projektu priekšatlasi, kas rezultējas riskā ar augstu varbūtības pakāpi, ka snieguma ietvara rezerve 6% jeb 16,6 milj. </w:t>
      </w:r>
      <w:r w:rsidR="00217654" w:rsidRPr="009E245B">
        <w:rPr>
          <w:rFonts w:eastAsia="Times New Roman"/>
          <w:bCs/>
          <w:i/>
          <w:sz w:val="28"/>
          <w:szCs w:val="28"/>
          <w:lang w:eastAsia="lv-LV"/>
        </w:rPr>
        <w:t>euro</w:t>
      </w:r>
      <w:r w:rsidR="00217654" w:rsidRPr="009E245B">
        <w:rPr>
          <w:rFonts w:eastAsia="Times New Roman"/>
          <w:bCs/>
          <w:sz w:val="28"/>
          <w:szCs w:val="28"/>
          <w:lang w:eastAsia="lv-LV"/>
        </w:rPr>
        <w:t xml:space="preserve"> var tikt zaudēta. Šobrīd Izglītības un zinātnes ministrija gatavo iespējamos priekšlikumus grozījumiem Darbības programmā, ņemot vērā virzīto nozares politikas reformu, taču tas nemazina riska pakāpi, ņemot vērā, ka </w:t>
      </w:r>
      <w:r w:rsidR="001C1C6A">
        <w:rPr>
          <w:rFonts w:eastAsia="Times New Roman"/>
          <w:bCs/>
          <w:sz w:val="28"/>
          <w:szCs w:val="28"/>
          <w:lang w:eastAsia="lv-LV"/>
        </w:rPr>
        <w:t>EK</w:t>
      </w:r>
      <w:r w:rsidR="00217654" w:rsidRPr="009E245B">
        <w:rPr>
          <w:rFonts w:eastAsia="Times New Roman"/>
          <w:bCs/>
          <w:sz w:val="28"/>
          <w:szCs w:val="28"/>
          <w:lang w:eastAsia="lv-LV"/>
        </w:rPr>
        <w:t xml:space="preserve"> ar lielu varbūtību var neatbalstīt priekšlikumus samazināt snieguma ietvara mērķi, ņemot vērā, ka kavēšanās neatbilst kā pamatojums pēc </w:t>
      </w:r>
      <w:r w:rsidR="001C1C6A">
        <w:rPr>
          <w:rFonts w:eastAsia="Times New Roman"/>
          <w:bCs/>
          <w:sz w:val="28"/>
          <w:szCs w:val="28"/>
          <w:lang w:eastAsia="lv-LV"/>
        </w:rPr>
        <w:t>EK</w:t>
      </w:r>
      <w:r w:rsidR="00217654" w:rsidRPr="009E245B">
        <w:rPr>
          <w:rFonts w:eastAsia="Times New Roman"/>
          <w:bCs/>
          <w:sz w:val="28"/>
          <w:szCs w:val="28"/>
          <w:lang w:eastAsia="lv-LV"/>
        </w:rPr>
        <w:t xml:space="preserve"> </w:t>
      </w:r>
      <w:r w:rsidR="00D47858" w:rsidRPr="009E245B">
        <w:rPr>
          <w:rFonts w:eastAsia="Times New Roman"/>
          <w:bCs/>
          <w:sz w:val="28"/>
          <w:szCs w:val="28"/>
          <w:lang w:eastAsia="lv-LV"/>
        </w:rPr>
        <w:t>norādēm</w:t>
      </w:r>
      <w:r w:rsidR="00AB04DB" w:rsidRPr="009E245B">
        <w:rPr>
          <w:rFonts w:eastAsia="Times New Roman"/>
          <w:bCs/>
          <w:sz w:val="28"/>
          <w:szCs w:val="28"/>
          <w:lang w:eastAsia="lv-LV"/>
        </w:rPr>
        <w:t>;</w:t>
      </w:r>
    </w:p>
    <w:p w14:paraId="2D020369" w14:textId="5236A2C7" w:rsidR="000A5AD1" w:rsidRPr="005B3C62" w:rsidRDefault="00EC09E0" w:rsidP="005B3C62">
      <w:pPr>
        <w:pStyle w:val="ListParagraph"/>
        <w:numPr>
          <w:ilvl w:val="1"/>
          <w:numId w:val="22"/>
        </w:numPr>
        <w:spacing w:before="120" w:after="120"/>
        <w:ind w:left="709" w:hanging="425"/>
        <w:jc w:val="both"/>
        <w:rPr>
          <w:rFonts w:eastAsia="Times New Roman"/>
          <w:bCs/>
          <w:sz w:val="28"/>
          <w:szCs w:val="28"/>
          <w:lang w:eastAsia="lv-LV"/>
        </w:rPr>
      </w:pPr>
      <w:r w:rsidRPr="005B3C62">
        <w:rPr>
          <w:rFonts w:eastAsia="Times New Roman"/>
          <w:bCs/>
          <w:sz w:val="28"/>
          <w:szCs w:val="28"/>
          <w:lang w:eastAsia="lv-LV"/>
        </w:rPr>
        <w:t xml:space="preserve">jāpieņem “atlikušie” lēmumi par </w:t>
      </w:r>
      <w:r w:rsidR="00592804" w:rsidRPr="005B3C62">
        <w:rPr>
          <w:rFonts w:eastAsia="Times New Roman"/>
          <w:bCs/>
          <w:sz w:val="28"/>
          <w:szCs w:val="28"/>
          <w:lang w:eastAsia="lv-LV"/>
        </w:rPr>
        <w:t>investīcijām, t.sk., kam kavēta MK noteikumu izstrāde un attiecīgi apstiprināšana.</w:t>
      </w:r>
      <w:r w:rsidR="00E34FCE" w:rsidRPr="005B3C62">
        <w:rPr>
          <w:rFonts w:eastAsia="Times New Roman"/>
          <w:bCs/>
          <w:sz w:val="28"/>
          <w:szCs w:val="28"/>
          <w:lang w:eastAsia="lv-LV"/>
        </w:rPr>
        <w:t xml:space="preserve"> </w:t>
      </w:r>
      <w:r w:rsidR="00724D33" w:rsidRPr="005B3C62">
        <w:rPr>
          <w:rFonts w:eastAsia="Times New Roman"/>
          <w:bCs/>
          <w:sz w:val="28"/>
          <w:szCs w:val="28"/>
          <w:lang w:eastAsia="lv-LV"/>
        </w:rPr>
        <w:t>2017.gadā jāizlemj par</w:t>
      </w:r>
      <w:r w:rsidR="00735586" w:rsidRPr="005B3C62">
        <w:rPr>
          <w:rFonts w:eastAsia="Times New Roman"/>
          <w:bCs/>
          <w:sz w:val="28"/>
          <w:szCs w:val="28"/>
          <w:lang w:eastAsia="lv-LV"/>
        </w:rPr>
        <w:t xml:space="preserve"> </w:t>
      </w:r>
      <w:r w:rsidR="00724D33" w:rsidRPr="005B3C62">
        <w:rPr>
          <w:rFonts w:eastAsia="Times New Roman"/>
          <w:bCs/>
          <w:sz w:val="28"/>
          <w:szCs w:val="28"/>
          <w:lang w:eastAsia="lv-LV"/>
        </w:rPr>
        <w:lastRenderedPageBreak/>
        <w:t>574,7</w:t>
      </w:r>
      <w:r w:rsidR="00735586" w:rsidRPr="005B3C62">
        <w:rPr>
          <w:rFonts w:eastAsia="Times New Roman"/>
          <w:bCs/>
          <w:sz w:val="28"/>
          <w:szCs w:val="28"/>
          <w:lang w:eastAsia="lv-LV"/>
        </w:rPr>
        <w:t xml:space="preserve"> milj</w:t>
      </w:r>
      <w:r w:rsidR="009E245B" w:rsidRPr="005B3C62">
        <w:rPr>
          <w:rFonts w:eastAsia="Times New Roman"/>
          <w:bCs/>
          <w:sz w:val="28"/>
          <w:szCs w:val="28"/>
          <w:lang w:eastAsia="lv-LV"/>
        </w:rPr>
        <w:t>.</w:t>
      </w:r>
      <w:r w:rsidR="00735586" w:rsidRPr="005B3C62">
        <w:rPr>
          <w:rFonts w:eastAsia="Times New Roman"/>
          <w:bCs/>
          <w:sz w:val="28"/>
          <w:szCs w:val="28"/>
          <w:lang w:eastAsia="lv-LV"/>
        </w:rPr>
        <w:t xml:space="preserve"> </w:t>
      </w:r>
      <w:r w:rsidR="00735586" w:rsidRPr="005B3C62">
        <w:rPr>
          <w:rFonts w:eastAsia="Times New Roman"/>
          <w:bCs/>
          <w:i/>
          <w:sz w:val="28"/>
          <w:szCs w:val="28"/>
          <w:lang w:eastAsia="lv-LV"/>
        </w:rPr>
        <w:t>euro</w:t>
      </w:r>
      <w:r w:rsidR="00735586" w:rsidRPr="005B3C62">
        <w:rPr>
          <w:rFonts w:eastAsia="Times New Roman"/>
          <w:bCs/>
          <w:sz w:val="28"/>
          <w:szCs w:val="28"/>
          <w:lang w:eastAsia="lv-LV"/>
        </w:rPr>
        <w:t xml:space="preserve"> </w:t>
      </w:r>
      <w:r w:rsidR="00735586" w:rsidRPr="005B3C62">
        <w:rPr>
          <w:rFonts w:eastAsia="Times New Roman"/>
          <w:bCs/>
          <w:iCs/>
          <w:sz w:val="28"/>
          <w:szCs w:val="28"/>
          <w:lang w:eastAsia="lv-LV"/>
        </w:rPr>
        <w:t xml:space="preserve">no </w:t>
      </w:r>
      <w:r w:rsidR="00724D33" w:rsidRPr="005B3C62">
        <w:rPr>
          <w:rFonts w:eastAsia="Times New Roman"/>
          <w:bCs/>
          <w:iCs/>
          <w:sz w:val="28"/>
          <w:szCs w:val="28"/>
          <w:lang w:eastAsia="lv-LV"/>
        </w:rPr>
        <w:t>atlikušajiem MK noteikumiem</w:t>
      </w:r>
      <w:r w:rsidR="00724D33" w:rsidRPr="005B3C62">
        <w:rPr>
          <w:rFonts w:eastAsia="Times New Roman"/>
          <w:bCs/>
          <w:sz w:val="28"/>
          <w:szCs w:val="28"/>
          <w:lang w:eastAsia="lv-LV"/>
        </w:rPr>
        <w:t xml:space="preserve">. No </w:t>
      </w:r>
      <w:r w:rsidR="00592804" w:rsidRPr="005B3C62">
        <w:rPr>
          <w:rFonts w:eastAsia="Times New Roman"/>
          <w:bCs/>
          <w:sz w:val="28"/>
          <w:szCs w:val="28"/>
          <w:lang w:eastAsia="lv-LV"/>
        </w:rPr>
        <w:t xml:space="preserve">tiem </w:t>
      </w:r>
      <w:r w:rsidR="00724D33" w:rsidRPr="005B3C62">
        <w:rPr>
          <w:rFonts w:eastAsia="Times New Roman"/>
          <w:bCs/>
          <w:sz w:val="28"/>
          <w:szCs w:val="28"/>
          <w:lang w:eastAsia="lv-LV"/>
        </w:rPr>
        <w:t>5</w:t>
      </w:r>
      <w:r w:rsidR="0072394F" w:rsidRPr="005B3C62">
        <w:rPr>
          <w:rFonts w:eastAsia="Times New Roman"/>
          <w:bCs/>
          <w:sz w:val="28"/>
          <w:szCs w:val="28"/>
          <w:lang w:eastAsia="lv-LV"/>
        </w:rPr>
        <w:t xml:space="preserve"> </w:t>
      </w:r>
      <w:r w:rsidR="00592804" w:rsidRPr="005B3C62">
        <w:rPr>
          <w:rFonts w:eastAsia="Times New Roman"/>
          <w:bCs/>
          <w:sz w:val="28"/>
          <w:szCs w:val="28"/>
          <w:lang w:eastAsia="lv-LV"/>
        </w:rPr>
        <w:t xml:space="preserve">MK noteikumiem ar kopējo finansējumu </w:t>
      </w:r>
      <w:r w:rsidR="00724D33" w:rsidRPr="005B3C62">
        <w:rPr>
          <w:rFonts w:eastAsia="Times New Roman"/>
          <w:bCs/>
          <w:sz w:val="28"/>
          <w:szCs w:val="28"/>
          <w:lang w:eastAsia="lv-LV"/>
        </w:rPr>
        <w:t>443,1</w:t>
      </w:r>
      <w:r w:rsidR="00592804" w:rsidRPr="005B3C62">
        <w:rPr>
          <w:rFonts w:eastAsia="Times New Roman"/>
          <w:bCs/>
          <w:sz w:val="28"/>
          <w:szCs w:val="28"/>
          <w:lang w:eastAsia="lv-LV"/>
        </w:rPr>
        <w:t xml:space="preserve"> milj. </w:t>
      </w:r>
      <w:r w:rsidR="00592804" w:rsidRPr="005B3C62">
        <w:rPr>
          <w:rFonts w:eastAsia="Times New Roman"/>
          <w:bCs/>
          <w:i/>
          <w:sz w:val="28"/>
          <w:szCs w:val="28"/>
          <w:lang w:eastAsia="lv-LV"/>
        </w:rPr>
        <w:t>euro</w:t>
      </w:r>
      <w:r w:rsidR="00592804" w:rsidRPr="005B3C62">
        <w:rPr>
          <w:rFonts w:eastAsia="Times New Roman"/>
          <w:bCs/>
          <w:sz w:val="28"/>
          <w:szCs w:val="28"/>
          <w:lang w:eastAsia="lv-LV"/>
        </w:rPr>
        <w:t xml:space="preserve"> izpildes t</w:t>
      </w:r>
      <w:r w:rsidR="0037637C" w:rsidRPr="005B3C62">
        <w:rPr>
          <w:rFonts w:eastAsia="Times New Roman"/>
          <w:bCs/>
          <w:sz w:val="28"/>
          <w:szCs w:val="28"/>
          <w:lang w:eastAsia="lv-LV"/>
        </w:rPr>
        <w:t>ermiņš kavējas kopš 2016.gada:</w:t>
      </w:r>
      <w:r w:rsidR="00724D33" w:rsidRPr="005B3C62">
        <w:rPr>
          <w:rFonts w:eastAsia="Times New Roman"/>
          <w:bCs/>
          <w:sz w:val="28"/>
          <w:szCs w:val="28"/>
          <w:lang w:eastAsia="lv-LV"/>
        </w:rPr>
        <w:t xml:space="preserve"> Dzelzceļa elektrifikācija; Torņkalna transporta mezgls </w:t>
      </w:r>
      <w:r w:rsidR="00724D33" w:rsidRPr="005B3C62">
        <w:rPr>
          <w:rFonts w:eastAsia="Times New Roman"/>
          <w:bCs/>
          <w:i/>
          <w:sz w:val="28"/>
          <w:szCs w:val="28"/>
          <w:lang w:eastAsia="lv-LV"/>
        </w:rPr>
        <w:t xml:space="preserve">- </w:t>
      </w:r>
      <w:r w:rsidR="00724D33" w:rsidRPr="005B3C62">
        <w:rPr>
          <w:rFonts w:eastAsia="Times New Roman"/>
          <w:bCs/>
          <w:sz w:val="28"/>
          <w:szCs w:val="28"/>
          <w:lang w:eastAsia="lv-LV"/>
        </w:rPr>
        <w:t>kopā 353,7milj</w:t>
      </w:r>
      <w:r w:rsidR="00724D33" w:rsidRPr="005B3C62">
        <w:rPr>
          <w:rFonts w:eastAsia="Times New Roman"/>
          <w:bCs/>
          <w:i/>
          <w:sz w:val="28"/>
          <w:szCs w:val="28"/>
          <w:lang w:eastAsia="lv-LV"/>
        </w:rPr>
        <w:t>. euro</w:t>
      </w:r>
      <w:r w:rsidR="00724D33" w:rsidRPr="005B3C62">
        <w:rPr>
          <w:rFonts w:eastAsia="Times New Roman"/>
          <w:bCs/>
          <w:sz w:val="28"/>
          <w:szCs w:val="28"/>
          <w:lang w:eastAsia="lv-LV"/>
        </w:rPr>
        <w:t xml:space="preserve">; </w:t>
      </w:r>
      <w:r w:rsidR="00592804" w:rsidRPr="005B3C62">
        <w:rPr>
          <w:rFonts w:eastAsia="Times New Roman"/>
          <w:bCs/>
          <w:sz w:val="28"/>
          <w:szCs w:val="28"/>
          <w:lang w:eastAsia="lv-LV"/>
        </w:rPr>
        <w:t xml:space="preserve">Siltumtīklu energoefektivitāte – 53,2 milj. </w:t>
      </w:r>
      <w:r w:rsidR="00592804" w:rsidRPr="005B3C62">
        <w:rPr>
          <w:rFonts w:eastAsia="Times New Roman"/>
          <w:bCs/>
          <w:i/>
          <w:sz w:val="28"/>
          <w:szCs w:val="28"/>
          <w:lang w:eastAsia="lv-LV"/>
        </w:rPr>
        <w:t xml:space="preserve">euro; </w:t>
      </w:r>
      <w:r w:rsidR="00592804" w:rsidRPr="005B3C62">
        <w:rPr>
          <w:rFonts w:eastAsia="Times New Roman"/>
          <w:bCs/>
          <w:sz w:val="28"/>
          <w:szCs w:val="28"/>
          <w:lang w:eastAsia="lv-LV"/>
        </w:rPr>
        <w:t xml:space="preserve">Starptautiskā sadarbība – 27,7 milj. </w:t>
      </w:r>
      <w:r w:rsidR="00592804" w:rsidRPr="005B3C62">
        <w:rPr>
          <w:rFonts w:eastAsia="Times New Roman"/>
          <w:bCs/>
          <w:i/>
          <w:sz w:val="28"/>
          <w:szCs w:val="28"/>
          <w:lang w:eastAsia="lv-LV"/>
        </w:rPr>
        <w:t xml:space="preserve">euro; </w:t>
      </w:r>
      <w:r w:rsidR="00592804" w:rsidRPr="005B3C62">
        <w:rPr>
          <w:rFonts w:eastAsia="Times New Roman"/>
          <w:bCs/>
          <w:sz w:val="28"/>
          <w:szCs w:val="28"/>
          <w:lang w:eastAsia="lv-LV"/>
        </w:rPr>
        <w:t xml:space="preserve">Ārstu piesaiste reģionos – 8,5 milj. </w:t>
      </w:r>
      <w:r w:rsidR="00735B40" w:rsidRPr="005B3C62">
        <w:rPr>
          <w:rFonts w:eastAsia="Times New Roman"/>
          <w:bCs/>
          <w:i/>
          <w:sz w:val="28"/>
          <w:szCs w:val="28"/>
          <w:lang w:eastAsia="lv-LV"/>
        </w:rPr>
        <w:t>euro</w:t>
      </w:r>
      <w:r w:rsidR="00735B40" w:rsidRPr="005B3C62">
        <w:rPr>
          <w:rFonts w:eastAsia="Times New Roman"/>
          <w:bCs/>
          <w:sz w:val="28"/>
          <w:szCs w:val="28"/>
          <w:lang w:eastAsia="lv-LV"/>
        </w:rPr>
        <w:t>;</w:t>
      </w:r>
      <w:r w:rsidR="00307031" w:rsidRPr="005B3C62">
        <w:rPr>
          <w:rFonts w:eastAsia="Times New Roman"/>
          <w:bCs/>
          <w:sz w:val="28"/>
          <w:szCs w:val="28"/>
          <w:lang w:eastAsia="lv-LV"/>
        </w:rPr>
        <w:t xml:space="preserve"> </w:t>
      </w:r>
    </w:p>
    <w:p w14:paraId="5E4AEED0" w14:textId="77777777" w:rsidR="002B702E" w:rsidRDefault="008E0D80" w:rsidP="002B702E">
      <w:pPr>
        <w:pStyle w:val="ListParagraph"/>
        <w:numPr>
          <w:ilvl w:val="0"/>
          <w:numId w:val="25"/>
        </w:numPr>
        <w:spacing w:before="120" w:after="120"/>
        <w:ind w:left="709" w:hanging="425"/>
        <w:jc w:val="both"/>
        <w:rPr>
          <w:rFonts w:eastAsia="Times New Roman"/>
          <w:bCs/>
          <w:sz w:val="28"/>
          <w:szCs w:val="28"/>
          <w:lang w:eastAsia="lv-LV"/>
        </w:rPr>
      </w:pPr>
      <w:r w:rsidRPr="009E245B">
        <w:rPr>
          <w:rFonts w:eastAsia="Times New Roman"/>
          <w:bCs/>
          <w:sz w:val="28"/>
          <w:szCs w:val="28"/>
          <w:lang w:eastAsia="lv-LV"/>
        </w:rPr>
        <w:t xml:space="preserve">atbilstoši MK </w:t>
      </w:r>
      <w:r w:rsidR="00872911" w:rsidRPr="009E245B">
        <w:rPr>
          <w:rFonts w:eastAsia="Times New Roman"/>
          <w:bCs/>
          <w:sz w:val="28"/>
          <w:szCs w:val="28"/>
          <w:lang w:eastAsia="lv-LV"/>
        </w:rPr>
        <w:t>2017.gada 17.janvāra</w:t>
      </w:r>
      <w:r w:rsidRPr="009E245B">
        <w:rPr>
          <w:rFonts w:eastAsia="Times New Roman"/>
          <w:bCs/>
          <w:sz w:val="28"/>
          <w:szCs w:val="28"/>
          <w:lang w:eastAsia="lv-LV"/>
        </w:rPr>
        <w:t xml:space="preserve"> sēdes protokola Nr.3 39.§ “Informatīvais ziņojums “Par lielā projekta “Latvijas dzelzceļa tīkla elektrifikācija” sagatavošanas progresu, izmaksu un ieguvumu analīzes rezultātiem un projekta īstenošanas risinājumiem”” 10.punktā noteiktajam,</w:t>
      </w:r>
      <w:r w:rsidR="00F14EBC" w:rsidRPr="009E245B">
        <w:rPr>
          <w:rFonts w:eastAsia="Times New Roman"/>
          <w:bCs/>
          <w:sz w:val="28"/>
          <w:szCs w:val="28"/>
          <w:lang w:eastAsia="lv-LV"/>
        </w:rPr>
        <w:t xml:space="preserve"> turpmāk </w:t>
      </w:r>
      <w:r w:rsidRPr="009E245B">
        <w:rPr>
          <w:rFonts w:eastAsia="Times New Roman"/>
          <w:bCs/>
          <w:sz w:val="28"/>
          <w:szCs w:val="28"/>
          <w:lang w:eastAsia="lv-LV"/>
        </w:rPr>
        <w:t xml:space="preserve">ikmēneša informatīvajos ziņojumos </w:t>
      </w:r>
      <w:r w:rsidR="00341AC2" w:rsidRPr="009E245B">
        <w:rPr>
          <w:rFonts w:eastAsia="Times New Roman"/>
          <w:bCs/>
          <w:sz w:val="28"/>
          <w:szCs w:val="28"/>
          <w:lang w:eastAsia="lv-LV"/>
        </w:rPr>
        <w:t>MK</w:t>
      </w:r>
      <w:r w:rsidR="0026656C" w:rsidRPr="009E245B">
        <w:rPr>
          <w:rFonts w:eastAsia="Times New Roman"/>
          <w:bCs/>
          <w:sz w:val="28"/>
          <w:szCs w:val="28"/>
          <w:lang w:eastAsia="lv-LV"/>
        </w:rPr>
        <w:t xml:space="preserve">, balstoties uz </w:t>
      </w:r>
      <w:r w:rsidR="00255636" w:rsidRPr="009E245B">
        <w:rPr>
          <w:rFonts w:eastAsia="Times New Roman"/>
          <w:bCs/>
          <w:sz w:val="28"/>
          <w:szCs w:val="28"/>
          <w:lang w:eastAsia="lv-LV"/>
        </w:rPr>
        <w:t>Satiksmes ministrijas</w:t>
      </w:r>
      <w:r w:rsidRPr="009E245B">
        <w:rPr>
          <w:rFonts w:eastAsia="Times New Roman"/>
          <w:bCs/>
          <w:sz w:val="28"/>
          <w:szCs w:val="28"/>
          <w:lang w:eastAsia="lv-LV"/>
        </w:rPr>
        <w:t xml:space="preserve"> sniegt</w:t>
      </w:r>
      <w:r w:rsidR="0026656C" w:rsidRPr="009E245B">
        <w:rPr>
          <w:rFonts w:eastAsia="Times New Roman"/>
          <w:bCs/>
          <w:sz w:val="28"/>
          <w:szCs w:val="28"/>
          <w:lang w:eastAsia="lv-LV"/>
        </w:rPr>
        <w:t>o informāciju, tiks iekļauts aktuālākais statuss</w:t>
      </w:r>
      <w:r w:rsidRPr="009E245B">
        <w:rPr>
          <w:rFonts w:eastAsia="Times New Roman"/>
          <w:bCs/>
          <w:sz w:val="28"/>
          <w:szCs w:val="28"/>
          <w:lang w:eastAsia="lv-LV"/>
        </w:rPr>
        <w:t xml:space="preserve"> par lielā projekta “Latvijas dzelzceļa tīkla elektrifikācija” virzību.</w:t>
      </w:r>
    </w:p>
    <w:p w14:paraId="69F03D9D" w14:textId="63A9B855" w:rsidR="00D850DF" w:rsidRPr="002B702E" w:rsidRDefault="002B702E" w:rsidP="002B702E">
      <w:pPr>
        <w:pStyle w:val="ListParagraph"/>
        <w:numPr>
          <w:ilvl w:val="0"/>
          <w:numId w:val="25"/>
        </w:numPr>
        <w:spacing w:before="120" w:after="120"/>
        <w:ind w:left="709" w:hanging="425"/>
        <w:jc w:val="both"/>
        <w:rPr>
          <w:rFonts w:eastAsia="Times New Roman"/>
          <w:bCs/>
          <w:sz w:val="28"/>
          <w:szCs w:val="28"/>
          <w:lang w:eastAsia="lv-LV"/>
        </w:rPr>
      </w:pPr>
      <w:r w:rsidRPr="002B702E">
        <w:rPr>
          <w:rFonts w:cs="Times New Roman"/>
          <w:sz w:val="28"/>
          <w:szCs w:val="28"/>
        </w:rPr>
        <w:t xml:space="preserve">Par </w:t>
      </w:r>
      <w:r>
        <w:rPr>
          <w:rFonts w:cs="Times New Roman"/>
          <w:sz w:val="28"/>
          <w:szCs w:val="28"/>
        </w:rPr>
        <w:t xml:space="preserve">iepriekš minēto </w:t>
      </w:r>
      <w:r w:rsidRPr="002B702E">
        <w:rPr>
          <w:rFonts w:cs="Times New Roman"/>
          <w:sz w:val="28"/>
          <w:szCs w:val="28"/>
        </w:rPr>
        <w:t>risku izvērtējumu un priekšlikumiem rīcībai, lai nepieļautu ES finansējuma zaudēšanu, FM informēs valdību 2017.gada martā</w:t>
      </w:r>
      <w:r>
        <w:rPr>
          <w:rFonts w:cs="Times New Roman"/>
          <w:sz w:val="28"/>
          <w:szCs w:val="28"/>
        </w:rPr>
        <w:t>, iesniedzot</w:t>
      </w:r>
      <w:r w:rsidRPr="002B702E">
        <w:rPr>
          <w:rFonts w:cs="Times New Roman"/>
          <w:sz w:val="28"/>
          <w:szCs w:val="28"/>
        </w:rPr>
        <w:t xml:space="preserve"> regulāro pusgada progresa ziņojumu, </w:t>
      </w:r>
      <w:r>
        <w:rPr>
          <w:rFonts w:cs="Times New Roman"/>
          <w:sz w:val="28"/>
          <w:szCs w:val="28"/>
        </w:rPr>
        <w:t xml:space="preserve">kurā tiks </w:t>
      </w:r>
      <w:r w:rsidR="00DC1349">
        <w:rPr>
          <w:rFonts w:cs="Times New Roman"/>
          <w:sz w:val="28"/>
          <w:szCs w:val="28"/>
        </w:rPr>
        <w:t xml:space="preserve">iekļauti </w:t>
      </w:r>
      <w:r w:rsidRPr="002B702E">
        <w:rPr>
          <w:rFonts w:cs="Times New Roman"/>
          <w:sz w:val="28"/>
          <w:szCs w:val="28"/>
        </w:rPr>
        <w:t>konkrēt</w:t>
      </w:r>
      <w:r>
        <w:rPr>
          <w:rFonts w:cs="Times New Roman"/>
          <w:sz w:val="28"/>
          <w:szCs w:val="28"/>
        </w:rPr>
        <w:t>i</w:t>
      </w:r>
      <w:r w:rsidRPr="002B702E">
        <w:rPr>
          <w:rFonts w:cs="Times New Roman"/>
          <w:sz w:val="28"/>
          <w:szCs w:val="28"/>
        </w:rPr>
        <w:t xml:space="preserve"> priekšlikum</w:t>
      </w:r>
      <w:r>
        <w:rPr>
          <w:rFonts w:cs="Times New Roman"/>
          <w:sz w:val="28"/>
          <w:szCs w:val="28"/>
        </w:rPr>
        <w:t>i</w:t>
      </w:r>
      <w:r w:rsidRPr="002B702E">
        <w:rPr>
          <w:rFonts w:cs="Times New Roman"/>
          <w:sz w:val="28"/>
          <w:szCs w:val="28"/>
        </w:rPr>
        <w:t xml:space="preserve"> nepieciešamai rīcībai ES fondu investīciju plūsmas paātrināšanai</w:t>
      </w:r>
      <w:r>
        <w:rPr>
          <w:rFonts w:cs="Times New Roman"/>
          <w:sz w:val="28"/>
          <w:szCs w:val="28"/>
        </w:rPr>
        <w:t>.</w:t>
      </w:r>
      <w:r w:rsidRPr="002B702E">
        <w:rPr>
          <w:rFonts w:cs="Times New Roman"/>
          <w:sz w:val="28"/>
          <w:szCs w:val="28"/>
        </w:rPr>
        <w:t xml:space="preserve"> </w:t>
      </w:r>
    </w:p>
    <w:p w14:paraId="087C3BDE" w14:textId="77777777" w:rsidR="002B702E" w:rsidRPr="002B702E" w:rsidRDefault="002B702E" w:rsidP="002B702E">
      <w:pPr>
        <w:pStyle w:val="ListParagraph"/>
        <w:spacing w:before="120" w:after="120"/>
        <w:ind w:left="709"/>
        <w:jc w:val="both"/>
        <w:rPr>
          <w:rFonts w:eastAsia="Times New Roman"/>
          <w:bCs/>
          <w:sz w:val="28"/>
          <w:szCs w:val="28"/>
          <w:lang w:eastAsia="lv-LV"/>
        </w:rPr>
      </w:pPr>
    </w:p>
    <w:p w14:paraId="565F5815" w14:textId="21FA035B" w:rsidR="00684ADB" w:rsidRPr="009E245B" w:rsidRDefault="00684ADB" w:rsidP="002F41D0">
      <w:pPr>
        <w:rPr>
          <w:rFonts w:eastAsia="Calibri" w:cs="Times New Roman"/>
          <w:sz w:val="28"/>
          <w:szCs w:val="28"/>
          <w:lang w:eastAsia="ar-SA"/>
        </w:rPr>
      </w:pPr>
      <w:r w:rsidRPr="009E245B">
        <w:rPr>
          <w:rFonts w:eastAsia="Calibri" w:cs="Times New Roman"/>
          <w:sz w:val="28"/>
          <w:szCs w:val="28"/>
          <w:lang w:eastAsia="ar-SA"/>
        </w:rPr>
        <w:t xml:space="preserve">Pielikumā: </w:t>
      </w:r>
    </w:p>
    <w:p w14:paraId="2712E86F" w14:textId="62B900A4" w:rsidR="00847E10" w:rsidRPr="009E245B" w:rsidRDefault="003116CC" w:rsidP="003116CC">
      <w:pPr>
        <w:pStyle w:val="ListParagraph"/>
        <w:numPr>
          <w:ilvl w:val="0"/>
          <w:numId w:val="4"/>
        </w:numPr>
        <w:jc w:val="both"/>
        <w:rPr>
          <w:rFonts w:eastAsia="Times New Roman" w:cs="Times New Roman"/>
          <w:color w:val="000000"/>
          <w:sz w:val="28"/>
          <w:szCs w:val="28"/>
        </w:rPr>
      </w:pPr>
      <w:r w:rsidRPr="009E245B">
        <w:rPr>
          <w:rFonts w:eastAsia="Times New Roman" w:cs="Times New Roman"/>
          <w:color w:val="000000"/>
          <w:sz w:val="28"/>
          <w:szCs w:val="28"/>
        </w:rPr>
        <w:t>Kavētie Kohēzijas politikas ES fondu 2014-2020.gada plānošanas perioda investīc</w:t>
      </w:r>
      <w:r w:rsidR="008E5CA4" w:rsidRPr="009E245B">
        <w:rPr>
          <w:rFonts w:eastAsia="Times New Roman" w:cs="Times New Roman"/>
          <w:color w:val="000000"/>
          <w:sz w:val="28"/>
          <w:szCs w:val="28"/>
        </w:rPr>
        <w:t>iju Ministru kabineta noteikumi</w:t>
      </w:r>
      <w:r w:rsidRPr="009E245B">
        <w:rPr>
          <w:rFonts w:eastAsia="Times New Roman" w:cs="Times New Roman"/>
          <w:color w:val="000000"/>
          <w:sz w:val="28"/>
          <w:szCs w:val="28"/>
        </w:rPr>
        <w:t xml:space="preserve">, statuss </w:t>
      </w:r>
      <w:r w:rsidR="00E3729B" w:rsidRPr="009E245B">
        <w:rPr>
          <w:rFonts w:eastAsia="Times New Roman" w:cs="Times New Roman"/>
          <w:color w:val="000000"/>
          <w:sz w:val="28"/>
          <w:szCs w:val="28"/>
        </w:rPr>
        <w:t xml:space="preserve">līdz </w:t>
      </w:r>
      <w:r w:rsidR="00C12A77" w:rsidRPr="009E245B">
        <w:rPr>
          <w:rFonts w:eastAsia="Times New Roman" w:cs="Times New Roman"/>
          <w:color w:val="000000"/>
          <w:sz w:val="28"/>
          <w:szCs w:val="28"/>
        </w:rPr>
        <w:t>24</w:t>
      </w:r>
      <w:r w:rsidR="00BC26D9" w:rsidRPr="009E245B">
        <w:rPr>
          <w:rFonts w:eastAsia="Times New Roman" w:cs="Times New Roman"/>
          <w:color w:val="000000"/>
          <w:sz w:val="28"/>
          <w:szCs w:val="28"/>
        </w:rPr>
        <w:t>.01.2017.</w:t>
      </w:r>
      <w:r w:rsidR="00C856E1" w:rsidRPr="009E245B">
        <w:rPr>
          <w:rFonts w:eastAsia="Times New Roman" w:cs="Times New Roman"/>
          <w:color w:val="000000"/>
          <w:sz w:val="28"/>
          <w:szCs w:val="28"/>
        </w:rPr>
        <w:t xml:space="preserve"> </w:t>
      </w:r>
      <w:r w:rsidR="00847E10" w:rsidRPr="009E245B">
        <w:rPr>
          <w:rFonts w:eastAsia="Times New Roman" w:cs="Times New Roman"/>
          <w:color w:val="000000"/>
          <w:sz w:val="28"/>
          <w:szCs w:val="28"/>
        </w:rPr>
        <w:t>uz 1 lp.;</w:t>
      </w:r>
    </w:p>
    <w:p w14:paraId="26F3EFF8" w14:textId="3378C494" w:rsidR="00847E10" w:rsidRPr="009E245B" w:rsidRDefault="003116CC" w:rsidP="003116CC">
      <w:pPr>
        <w:pStyle w:val="ListParagraph"/>
        <w:numPr>
          <w:ilvl w:val="0"/>
          <w:numId w:val="4"/>
        </w:numPr>
        <w:suppressAutoHyphens/>
        <w:spacing w:before="120" w:after="120"/>
        <w:contextualSpacing w:val="0"/>
        <w:jc w:val="both"/>
        <w:rPr>
          <w:rFonts w:eastAsia="Times New Roman" w:cs="Times New Roman"/>
          <w:color w:val="000000"/>
          <w:sz w:val="28"/>
          <w:szCs w:val="28"/>
        </w:rPr>
      </w:pPr>
      <w:r w:rsidRPr="009E245B">
        <w:rPr>
          <w:rFonts w:eastAsia="Times New Roman" w:cs="Times New Roman"/>
          <w:color w:val="000000"/>
          <w:sz w:val="28"/>
          <w:szCs w:val="28"/>
        </w:rPr>
        <w:t>Kavēta Kohēzijas politikas ES fondu 2014-2020.gada plānošanas perioda investīciju Ministru kabineta noteikumu izsludināšana valsts sekretāru sanāksmē</w:t>
      </w:r>
      <w:r w:rsidR="00310C87" w:rsidRPr="009E245B">
        <w:rPr>
          <w:rFonts w:eastAsia="Times New Roman" w:cs="Times New Roman"/>
          <w:color w:val="000000"/>
          <w:sz w:val="28"/>
          <w:szCs w:val="28"/>
        </w:rPr>
        <w:t>, statuss</w:t>
      </w:r>
      <w:r w:rsidRPr="009E245B">
        <w:rPr>
          <w:rFonts w:eastAsia="Times New Roman" w:cs="Times New Roman"/>
          <w:color w:val="000000"/>
          <w:sz w:val="28"/>
          <w:szCs w:val="28"/>
        </w:rPr>
        <w:t xml:space="preserve"> </w:t>
      </w:r>
      <w:r w:rsidR="00847E10" w:rsidRPr="009E245B">
        <w:rPr>
          <w:rFonts w:eastAsia="Times New Roman" w:cs="Times New Roman"/>
          <w:color w:val="000000"/>
          <w:sz w:val="28"/>
          <w:szCs w:val="28"/>
        </w:rPr>
        <w:t xml:space="preserve">uz </w:t>
      </w:r>
      <w:r w:rsidR="00C12A77" w:rsidRPr="009E245B">
        <w:rPr>
          <w:rFonts w:eastAsia="Times New Roman" w:cs="Times New Roman"/>
          <w:color w:val="000000"/>
          <w:sz w:val="28"/>
          <w:szCs w:val="28"/>
        </w:rPr>
        <w:t>24</w:t>
      </w:r>
      <w:r w:rsidR="00BC26D9" w:rsidRPr="009E245B">
        <w:rPr>
          <w:rFonts w:eastAsia="Times New Roman" w:cs="Times New Roman"/>
          <w:color w:val="000000"/>
          <w:sz w:val="28"/>
          <w:szCs w:val="28"/>
        </w:rPr>
        <w:t>.01.2017</w:t>
      </w:r>
      <w:r w:rsidR="00847E10" w:rsidRPr="009E245B">
        <w:rPr>
          <w:rFonts w:eastAsia="Times New Roman" w:cs="Times New Roman"/>
          <w:color w:val="000000"/>
          <w:sz w:val="28"/>
          <w:szCs w:val="28"/>
        </w:rPr>
        <w:t xml:space="preserve">. </w:t>
      </w:r>
      <w:r w:rsidR="008E5CA4" w:rsidRPr="009E245B">
        <w:rPr>
          <w:rFonts w:eastAsia="Times New Roman" w:cs="Times New Roman"/>
          <w:color w:val="000000"/>
          <w:sz w:val="28"/>
          <w:szCs w:val="28"/>
        </w:rPr>
        <w:t>uz</w:t>
      </w:r>
      <w:r w:rsidR="00E3729B" w:rsidRPr="009E245B">
        <w:rPr>
          <w:rFonts w:eastAsia="Times New Roman" w:cs="Times New Roman"/>
          <w:color w:val="000000"/>
          <w:sz w:val="28"/>
          <w:szCs w:val="28"/>
        </w:rPr>
        <w:t xml:space="preserve"> </w:t>
      </w:r>
      <w:r w:rsidR="004C60BB">
        <w:rPr>
          <w:rFonts w:eastAsia="Times New Roman" w:cs="Times New Roman"/>
          <w:color w:val="000000"/>
          <w:sz w:val="28"/>
          <w:szCs w:val="28"/>
        </w:rPr>
        <w:t>1 lp.</w:t>
      </w:r>
    </w:p>
    <w:p w14:paraId="1A44B55F" w14:textId="2D0817B8" w:rsidR="00D850DF" w:rsidRPr="009E245B" w:rsidRDefault="00D850DF" w:rsidP="00D850DF">
      <w:pPr>
        <w:spacing w:before="120" w:after="120"/>
        <w:jc w:val="both"/>
        <w:rPr>
          <w:rFonts w:eastAsia="Times New Roman" w:cs="Times New Roman"/>
          <w:color w:val="000000"/>
          <w:sz w:val="28"/>
          <w:szCs w:val="28"/>
        </w:rPr>
      </w:pPr>
    </w:p>
    <w:p w14:paraId="2A82BFAB" w14:textId="77777777" w:rsidR="00D850DF" w:rsidRPr="009E245B" w:rsidRDefault="00D850DF" w:rsidP="00D850DF">
      <w:pPr>
        <w:spacing w:before="120" w:after="120"/>
        <w:jc w:val="both"/>
        <w:rPr>
          <w:rFonts w:eastAsia="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0"/>
        <w:gridCol w:w="4531"/>
      </w:tblGrid>
      <w:tr w:rsidR="00F940B2" w:rsidRPr="009E245B" w14:paraId="2B83EFEB" w14:textId="77777777" w:rsidTr="00F940B2">
        <w:tc>
          <w:tcPr>
            <w:tcW w:w="4530" w:type="dxa"/>
          </w:tcPr>
          <w:p w14:paraId="6D072ECC" w14:textId="77777777" w:rsidR="00F940B2" w:rsidRDefault="00F940B2" w:rsidP="00684ADB">
            <w:pPr>
              <w:tabs>
                <w:tab w:val="right" w:pos="9072"/>
              </w:tabs>
              <w:suppressAutoHyphens/>
              <w:rPr>
                <w:rFonts w:eastAsia="Calibri" w:cs="Times New Roman"/>
                <w:sz w:val="28"/>
                <w:szCs w:val="24"/>
                <w:lang w:eastAsia="ar-SA"/>
              </w:rPr>
            </w:pPr>
            <w:r w:rsidRPr="009E245B">
              <w:rPr>
                <w:rFonts w:eastAsia="Calibri" w:cs="Times New Roman"/>
                <w:sz w:val="28"/>
                <w:szCs w:val="24"/>
                <w:lang w:eastAsia="ar-SA"/>
              </w:rPr>
              <w:t>Finanšu ministre</w:t>
            </w:r>
            <w:r w:rsidR="0042754E">
              <w:rPr>
                <w:rFonts w:eastAsia="Calibri" w:cs="Times New Roman"/>
                <w:sz w:val="28"/>
                <w:szCs w:val="24"/>
                <w:lang w:eastAsia="ar-SA"/>
              </w:rPr>
              <w:t>s vietā</w:t>
            </w:r>
          </w:p>
          <w:p w14:paraId="25527D11" w14:textId="151C91AB" w:rsidR="0042754E" w:rsidRPr="009E245B" w:rsidRDefault="00225792" w:rsidP="00684ADB">
            <w:pPr>
              <w:tabs>
                <w:tab w:val="right" w:pos="9072"/>
              </w:tabs>
              <w:suppressAutoHyphens/>
              <w:rPr>
                <w:rFonts w:eastAsia="Calibri" w:cs="Times New Roman"/>
                <w:sz w:val="28"/>
                <w:szCs w:val="24"/>
                <w:lang w:eastAsia="ar-SA"/>
              </w:rPr>
            </w:pPr>
            <w:r>
              <w:rPr>
                <w:rFonts w:eastAsia="Calibri" w:cs="Times New Roman"/>
                <w:sz w:val="28"/>
                <w:szCs w:val="24"/>
                <w:lang w:eastAsia="ar-SA"/>
              </w:rPr>
              <w:t>l</w:t>
            </w:r>
            <w:r w:rsidR="0042754E">
              <w:rPr>
                <w:rFonts w:eastAsia="Calibri" w:cs="Times New Roman"/>
                <w:sz w:val="28"/>
                <w:szCs w:val="24"/>
                <w:lang w:eastAsia="ar-SA"/>
              </w:rPr>
              <w:t>abklājības ministrs</w:t>
            </w:r>
          </w:p>
        </w:tc>
        <w:tc>
          <w:tcPr>
            <w:tcW w:w="4531" w:type="dxa"/>
          </w:tcPr>
          <w:p w14:paraId="6894B22A" w14:textId="1327C46F" w:rsidR="00F940B2" w:rsidRPr="009E245B" w:rsidRDefault="0042754E" w:rsidP="00F940B2">
            <w:pPr>
              <w:tabs>
                <w:tab w:val="right" w:pos="9072"/>
              </w:tabs>
              <w:suppressAutoHyphens/>
              <w:jc w:val="right"/>
              <w:rPr>
                <w:rFonts w:eastAsia="Calibri" w:cs="Times New Roman"/>
                <w:sz w:val="28"/>
                <w:szCs w:val="24"/>
                <w:lang w:eastAsia="ar-SA"/>
              </w:rPr>
            </w:pPr>
            <w:proofErr w:type="spellStart"/>
            <w:r>
              <w:rPr>
                <w:rFonts w:eastAsia="Calibri" w:cs="Times New Roman"/>
                <w:sz w:val="28"/>
                <w:szCs w:val="24"/>
                <w:lang w:eastAsia="ar-SA"/>
              </w:rPr>
              <w:t>J.Reirs</w:t>
            </w:r>
            <w:proofErr w:type="spellEnd"/>
          </w:p>
        </w:tc>
      </w:tr>
    </w:tbl>
    <w:p w14:paraId="3BEA5A64" w14:textId="77777777" w:rsidR="00DB203A" w:rsidRPr="009E245B" w:rsidRDefault="00DB203A" w:rsidP="00684ADB">
      <w:pPr>
        <w:tabs>
          <w:tab w:val="right" w:pos="9072"/>
        </w:tabs>
        <w:suppressAutoHyphens/>
        <w:rPr>
          <w:rFonts w:eastAsia="Calibri" w:cs="Times New Roman"/>
          <w:szCs w:val="24"/>
          <w:lang w:eastAsia="ar-SA"/>
        </w:rPr>
      </w:pPr>
    </w:p>
    <w:p w14:paraId="3E44A82C" w14:textId="77777777" w:rsidR="002E28C2" w:rsidRPr="009E245B" w:rsidRDefault="002E28C2" w:rsidP="00684ADB">
      <w:pPr>
        <w:tabs>
          <w:tab w:val="left" w:pos="1725"/>
        </w:tabs>
        <w:rPr>
          <w:color w:val="000000" w:themeColor="text1"/>
          <w:sz w:val="18"/>
        </w:rPr>
      </w:pPr>
    </w:p>
    <w:p w14:paraId="2EE69E98" w14:textId="77777777" w:rsidR="00684ADB" w:rsidRPr="009E245B" w:rsidRDefault="00684ADB" w:rsidP="00684ADB">
      <w:pPr>
        <w:tabs>
          <w:tab w:val="left" w:pos="1725"/>
        </w:tabs>
        <w:rPr>
          <w:color w:val="000000" w:themeColor="text1"/>
          <w:szCs w:val="24"/>
        </w:rPr>
      </w:pPr>
    </w:p>
    <w:p w14:paraId="7CDE1E77" w14:textId="75FC3261" w:rsidR="006D55C0" w:rsidRPr="009E245B" w:rsidRDefault="006D55C0" w:rsidP="006D55C0">
      <w:pPr>
        <w:tabs>
          <w:tab w:val="center" w:pos="4153"/>
          <w:tab w:val="right" w:pos="8306"/>
        </w:tabs>
        <w:rPr>
          <w:color w:val="000000"/>
          <w:szCs w:val="24"/>
        </w:rPr>
      </w:pPr>
      <w:r w:rsidRPr="009E245B">
        <w:rPr>
          <w:color w:val="000000"/>
          <w:szCs w:val="24"/>
        </w:rPr>
        <w:t>Dimzule</w:t>
      </w:r>
      <w:r w:rsidR="00C5535C" w:rsidRPr="009E245B">
        <w:rPr>
          <w:color w:val="000000"/>
          <w:szCs w:val="24"/>
        </w:rPr>
        <w:t>,</w:t>
      </w:r>
      <w:r w:rsidRPr="009E245B">
        <w:rPr>
          <w:color w:val="000000"/>
          <w:szCs w:val="24"/>
        </w:rPr>
        <w:t>67083873</w:t>
      </w:r>
    </w:p>
    <w:p w14:paraId="732D946A" w14:textId="60387BCC" w:rsidR="00942AB5" w:rsidRPr="009E245B" w:rsidRDefault="006D55C0" w:rsidP="00AB04DB">
      <w:pPr>
        <w:pStyle w:val="Header"/>
      </w:pPr>
      <w:r w:rsidRPr="009E245B">
        <w:rPr>
          <w:szCs w:val="24"/>
        </w:rPr>
        <w:t>Inta.Dimzule@fm.gov.lv</w:t>
      </w:r>
    </w:p>
    <w:sectPr w:rsidR="00942AB5" w:rsidRPr="009E245B" w:rsidSect="00592804">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50685" w14:textId="77777777" w:rsidR="00617EF8" w:rsidRDefault="00617EF8" w:rsidP="00684ADB">
      <w:r>
        <w:separator/>
      </w:r>
    </w:p>
  </w:endnote>
  <w:endnote w:type="continuationSeparator" w:id="0">
    <w:p w14:paraId="7A328870" w14:textId="77777777" w:rsidR="00617EF8" w:rsidRDefault="00617EF8" w:rsidP="0068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9D6B" w14:textId="2127F148" w:rsidR="004F42B6" w:rsidRPr="0038735F" w:rsidRDefault="00E763C2" w:rsidP="00947BBB">
    <w:pPr>
      <w:pStyle w:val="Footer"/>
      <w:jc w:val="both"/>
      <w:rPr>
        <w:sz w:val="20"/>
      </w:rPr>
    </w:pPr>
    <w:r>
      <w:rPr>
        <w:sz w:val="20"/>
      </w:rPr>
      <w:t>FMzino_260117</w:t>
    </w:r>
    <w:r w:rsidR="008010F6">
      <w:rPr>
        <w:sz w:val="20"/>
      </w:rPr>
      <w:t>_ES_fondi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BBE59" w14:textId="2465CA70" w:rsidR="004F42B6" w:rsidRPr="0038735F" w:rsidRDefault="004F42B6" w:rsidP="00947BBB">
    <w:pPr>
      <w:pStyle w:val="Footer"/>
      <w:jc w:val="both"/>
      <w:rPr>
        <w:sz w:val="20"/>
      </w:rPr>
    </w:pPr>
    <w:r>
      <w:rPr>
        <w:sz w:val="20"/>
      </w:rPr>
      <w:t>FMzino_</w:t>
    </w:r>
    <w:r w:rsidR="00E763C2">
      <w:rPr>
        <w:sz w:val="20"/>
      </w:rPr>
      <w:t>260117</w:t>
    </w:r>
    <w:r w:rsidRPr="002E1DBF">
      <w:rPr>
        <w:sz w:val="20"/>
      </w:rPr>
      <w:t>_ES_fondi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43856" w14:textId="77777777" w:rsidR="00617EF8" w:rsidRDefault="00617EF8" w:rsidP="00684ADB">
      <w:r>
        <w:separator/>
      </w:r>
    </w:p>
  </w:footnote>
  <w:footnote w:type="continuationSeparator" w:id="0">
    <w:p w14:paraId="1E839C71" w14:textId="77777777" w:rsidR="00617EF8" w:rsidRDefault="00617EF8" w:rsidP="00684ADB">
      <w:r>
        <w:continuationSeparator/>
      </w:r>
    </w:p>
  </w:footnote>
  <w:footnote w:id="1">
    <w:p w14:paraId="49CAF906" w14:textId="14608053" w:rsidR="004F42B6" w:rsidRPr="0008164B" w:rsidRDefault="004F42B6" w:rsidP="008F2668">
      <w:pPr>
        <w:pStyle w:val="FootnoteText"/>
        <w:jc w:val="both"/>
        <w:rPr>
          <w:sz w:val="16"/>
        </w:rPr>
      </w:pPr>
      <w:r w:rsidRPr="0008164B">
        <w:rPr>
          <w:rStyle w:val="FootnoteReference"/>
          <w:sz w:val="16"/>
        </w:rPr>
        <w:footnoteRef/>
      </w:r>
      <w:r w:rsidRPr="0008164B">
        <w:rPr>
          <w:sz w:val="16"/>
        </w:rPr>
        <w:t xml:space="preserve"> Ziņojumā tiek sniegta informācija par datu un informācijas apkopojumiem uz dažādiem atskaites datumiem ar mērķi sniegt aktuālo informāciju.</w:t>
      </w:r>
    </w:p>
  </w:footnote>
  <w:footnote w:id="2">
    <w:p w14:paraId="703181B8" w14:textId="77777777" w:rsidR="004F42B6" w:rsidRPr="0008164B" w:rsidRDefault="004F42B6" w:rsidP="008F2668">
      <w:pPr>
        <w:pStyle w:val="FootnoteText"/>
        <w:jc w:val="both"/>
        <w:rPr>
          <w:sz w:val="16"/>
        </w:rPr>
      </w:pPr>
      <w:r w:rsidRPr="0008164B">
        <w:rPr>
          <w:rStyle w:val="FootnoteReference"/>
          <w:sz w:val="16"/>
        </w:rPr>
        <w:footnoteRef/>
      </w:r>
      <w:r w:rsidRPr="0008164B">
        <w:rPr>
          <w:sz w:val="16"/>
        </w:rPr>
        <w:t xml:space="preserve"> Skatīt informatīvā ziņojuma par Eiropas Savienības struktūrfondu un Kohēzijas fonda, Eiropas Ekonomikas zonas finanšu instrumenta, Norvēģijas finanšu instrumenta un Latvijas un Šveices sadarbības programmas investīciju progresu līdz 2015.gada 31.decembrim 6.pielikumu: </w:t>
      </w:r>
      <w:hyperlink r:id="rId1" w:history="1">
        <w:r w:rsidRPr="0008164B">
          <w:rPr>
            <w:rStyle w:val="Hyperlink"/>
            <w:rFonts w:eastAsia="Calibri" w:cs="Times New Roman"/>
            <w:sz w:val="16"/>
            <w:lang w:eastAsia="ar-SA"/>
          </w:rPr>
          <w:t>http://www.esfondi.lv/zinojumi-Ministru-kabinetam</w:t>
        </w:r>
      </w:hyperlink>
    </w:p>
  </w:footnote>
  <w:footnote w:id="3">
    <w:p w14:paraId="5D7FA4BF" w14:textId="4841E74A" w:rsidR="00207285" w:rsidRDefault="00207285" w:rsidP="008F2668">
      <w:pPr>
        <w:pStyle w:val="FootnoteText"/>
        <w:jc w:val="both"/>
        <w:rPr>
          <w:sz w:val="16"/>
        </w:rPr>
      </w:pPr>
      <w:r w:rsidRPr="0008164B">
        <w:rPr>
          <w:rStyle w:val="FootnoteReference"/>
          <w:sz w:val="16"/>
        </w:rPr>
        <w:footnoteRef/>
      </w:r>
      <w:r w:rsidRPr="0008164B">
        <w:rPr>
          <w:sz w:val="16"/>
        </w:rPr>
        <w:t xml:space="preserve"> Finanšu rādītāju plāni un to izpilde </w:t>
      </w:r>
      <w:hyperlink r:id="rId2" w:history="1">
        <w:r w:rsidRPr="0008164B">
          <w:rPr>
            <w:rStyle w:val="Hyperlink"/>
            <w:sz w:val="16"/>
          </w:rPr>
          <w:t>http://www.esfondi.lv/finansu-un-raditaju-plani-to-izpilde</w:t>
        </w:r>
      </w:hyperlink>
      <w:r w:rsidRPr="0008164B">
        <w:rPr>
          <w:sz w:val="16"/>
        </w:rPr>
        <w:t xml:space="preserve"> </w:t>
      </w:r>
    </w:p>
    <w:p w14:paraId="2352DA13" w14:textId="379695D3" w:rsidR="0008164B" w:rsidRPr="0008164B" w:rsidRDefault="0008164B" w:rsidP="008F2668">
      <w:pPr>
        <w:pStyle w:val="FootnoteText"/>
        <w:jc w:val="both"/>
        <w:rPr>
          <w:sz w:val="16"/>
        </w:rPr>
      </w:pPr>
      <w:r>
        <w:rPr>
          <w:sz w:val="16"/>
        </w:rPr>
        <w:t>*</w:t>
      </w:r>
      <w:r w:rsidRPr="0008164B">
        <w:t xml:space="preserve"> </w:t>
      </w:r>
      <w:r w:rsidR="0037637C">
        <w:rPr>
          <w:sz w:val="16"/>
        </w:rPr>
        <w:t>MKN VSS regress (-0,7%) SAM</w:t>
      </w:r>
      <w:r w:rsidRPr="0008164B">
        <w:rPr>
          <w:sz w:val="16"/>
        </w:rPr>
        <w:t xml:space="preserve"> finanšu izmaiņu dēļ: nav pieņemts lēmums par 4.2.1.2. «Valsts ēku energoefektivitāte» otrās kārtas (27,6 milj.</w:t>
      </w:r>
      <w:r w:rsidR="004C2E76">
        <w:rPr>
          <w:sz w:val="16"/>
        </w:rPr>
        <w:t xml:space="preserve"> </w:t>
      </w:r>
      <w:r w:rsidRPr="0008164B">
        <w:rPr>
          <w:i/>
          <w:sz w:val="16"/>
        </w:rPr>
        <w:t>euro</w:t>
      </w:r>
      <w:r w:rsidRPr="0008164B">
        <w:rPr>
          <w:sz w:val="16"/>
        </w:rPr>
        <w:t>.) ieviešanas nosacījumiem un īstenošanas uzsākšanu, 7,8 milj. euro pārdalāmi no 5.3.1. «Ūdensapgāde» uz 5.4.3. «Biotopu aizsardzībai» (paredz DP grozījumi), kā arī izdalīta 8.3.6.1. «Starptautiskie pētījumi» otrā kārta 3,2 milj.</w:t>
      </w:r>
      <w:r w:rsidR="004C2E76">
        <w:rPr>
          <w:sz w:val="16"/>
        </w:rPr>
        <w:t xml:space="preserve"> </w:t>
      </w:r>
      <w:r w:rsidRPr="0008164B">
        <w:rPr>
          <w:i/>
          <w:sz w:val="16"/>
        </w:rPr>
        <w:t>euro</w:t>
      </w:r>
      <w:r w:rsidRPr="0008164B">
        <w:rPr>
          <w:sz w:val="16"/>
        </w:rPr>
        <w:t>.</w:t>
      </w:r>
    </w:p>
  </w:footnote>
  <w:footnote w:id="4">
    <w:p w14:paraId="4F2EC90E" w14:textId="0939E169" w:rsidR="00E26270" w:rsidRPr="0008164B" w:rsidRDefault="00E26270" w:rsidP="00B854C0">
      <w:pPr>
        <w:pStyle w:val="FootnoteText"/>
        <w:jc w:val="both"/>
        <w:rPr>
          <w:sz w:val="16"/>
        </w:rPr>
      </w:pPr>
      <w:r w:rsidRPr="0008164B">
        <w:rPr>
          <w:rStyle w:val="FootnoteReference"/>
          <w:sz w:val="16"/>
        </w:rPr>
        <w:footnoteRef/>
      </w:r>
      <w:r w:rsidRPr="0008164B">
        <w:rPr>
          <w:sz w:val="16"/>
        </w:rPr>
        <w:t xml:space="preserve"> Lai nodrošinātu zināmu elastību un tiektos uz lielāku izpildi, ambiciozāks plāns bija sasniegt 4,2 miljardu </w:t>
      </w:r>
      <w:r w:rsidRPr="00A9165D">
        <w:rPr>
          <w:i/>
          <w:sz w:val="16"/>
        </w:rPr>
        <w:t>euro</w:t>
      </w:r>
      <w:r w:rsidR="00B854C0" w:rsidRPr="0008164B">
        <w:rPr>
          <w:sz w:val="16"/>
        </w:rPr>
        <w:t xml:space="preserve"> vērtībā apstiprinātus investīciju noteikumus. Līdz 2016.gada beigām izdevies </w:t>
      </w:r>
      <w:r w:rsidR="000F55CB">
        <w:rPr>
          <w:sz w:val="16"/>
        </w:rPr>
        <w:t xml:space="preserve">izpildīt </w:t>
      </w:r>
      <w:r w:rsidR="00B854C0" w:rsidRPr="0008164B">
        <w:rPr>
          <w:sz w:val="16"/>
        </w:rPr>
        <w:t>90% no šī plāna.</w:t>
      </w:r>
    </w:p>
  </w:footnote>
  <w:footnote w:id="5">
    <w:p w14:paraId="4F893AC9" w14:textId="6DE2756B" w:rsidR="00966F47" w:rsidRPr="0008164B" w:rsidRDefault="00966F47" w:rsidP="008F2668">
      <w:pPr>
        <w:pStyle w:val="FootnoteText"/>
        <w:jc w:val="both"/>
        <w:rPr>
          <w:sz w:val="16"/>
        </w:rPr>
      </w:pPr>
      <w:r w:rsidRPr="0008164B">
        <w:rPr>
          <w:rStyle w:val="FootnoteReference"/>
          <w:sz w:val="16"/>
        </w:rPr>
        <w:footnoteRef/>
      </w:r>
      <w:r w:rsidRPr="0008164B">
        <w:rPr>
          <w:sz w:val="16"/>
        </w:rPr>
        <w:t xml:space="preserve"> </w:t>
      </w:r>
      <w:r w:rsidR="006A65E3" w:rsidRPr="0008164B">
        <w:rPr>
          <w:sz w:val="16"/>
        </w:rPr>
        <w:t>Pilna informācija par izpildes statusu uz 201</w:t>
      </w:r>
      <w:r w:rsidR="004A304D">
        <w:rPr>
          <w:sz w:val="16"/>
        </w:rPr>
        <w:t>7</w:t>
      </w:r>
      <w:r w:rsidR="006A65E3" w:rsidRPr="0008164B">
        <w:rPr>
          <w:sz w:val="16"/>
        </w:rPr>
        <w:t>.gada 1.</w:t>
      </w:r>
      <w:r w:rsidR="004A304D">
        <w:rPr>
          <w:sz w:val="16"/>
        </w:rPr>
        <w:t>janvāri</w:t>
      </w:r>
      <w:r w:rsidR="004A304D" w:rsidRPr="0008164B">
        <w:rPr>
          <w:sz w:val="16"/>
        </w:rPr>
        <w:t xml:space="preserve"> </w:t>
      </w:r>
      <w:r w:rsidR="006A65E3" w:rsidRPr="0008164B">
        <w:rPr>
          <w:sz w:val="16"/>
        </w:rPr>
        <w:t xml:space="preserve">pieejama </w:t>
      </w:r>
      <w:hyperlink r:id="rId3" w:history="1">
        <w:r w:rsidR="006A65E3" w:rsidRPr="0008164B">
          <w:rPr>
            <w:rStyle w:val="Hyperlink"/>
            <w:sz w:val="16"/>
          </w:rPr>
          <w:t>http://www.esfondi.lv/finansu-un-raditaju-plani-to-izpilde</w:t>
        </w:r>
      </w:hyperlink>
      <w:r w:rsidR="006A65E3" w:rsidRPr="0008164B">
        <w:rPr>
          <w:sz w:val="16"/>
        </w:rPr>
        <w:t xml:space="preserve"> </w:t>
      </w:r>
      <w:r w:rsidRPr="0008164B">
        <w:rPr>
          <w:sz w:val="16"/>
        </w:rPr>
        <w:t>Informācija sakārtota loģiskā sec</w:t>
      </w:r>
      <w:r w:rsidR="004F5936" w:rsidRPr="0008164B">
        <w:rPr>
          <w:sz w:val="16"/>
        </w:rPr>
        <w:t xml:space="preserve">ībā, sākot ar </w:t>
      </w:r>
      <w:r w:rsidR="002D235F" w:rsidRPr="0008164B">
        <w:rPr>
          <w:sz w:val="16"/>
        </w:rPr>
        <w:t>apsti</w:t>
      </w:r>
      <w:r w:rsidR="006A65E3" w:rsidRPr="0008164B">
        <w:rPr>
          <w:sz w:val="16"/>
        </w:rPr>
        <w:t>prinātiem MK noteikumiem</w:t>
      </w:r>
      <w:r w:rsidRPr="0008164B">
        <w:rPr>
          <w:sz w:val="16"/>
        </w:rPr>
        <w:t xml:space="preserve"> un turpinot ar kavējumiem (MK noteikumu apstiprināšanai, MK noteikumu izsludināšanai Valsts sekretāru sanāksmē</w:t>
      </w:r>
      <w:r w:rsidR="00D1696B" w:rsidRPr="0008164B">
        <w:rPr>
          <w:sz w:val="16"/>
        </w:rPr>
        <w:t>,</w:t>
      </w:r>
      <w:r w:rsidRPr="0008164B">
        <w:rPr>
          <w:sz w:val="16"/>
        </w:rPr>
        <w:t xml:space="preserve"> kā arī projektu iesniegumu atlases kritēriju iesniegšanai apakškomitejā) un noslēdzot ar specifiskajiem atbalsta mērķiem/pasākumiem, kuriem MK noteikumu apstiprināšanas termiņš vēl nav iestājies. </w:t>
      </w:r>
    </w:p>
  </w:footnote>
  <w:footnote w:id="6">
    <w:p w14:paraId="29BD7A84" w14:textId="34F90F0E" w:rsidR="004E60A3" w:rsidRPr="0008164B" w:rsidRDefault="004E60A3" w:rsidP="004E60A3">
      <w:pPr>
        <w:pStyle w:val="FootnoteText"/>
        <w:jc w:val="both"/>
        <w:rPr>
          <w:color w:val="000000" w:themeColor="text1"/>
          <w:sz w:val="16"/>
        </w:rPr>
      </w:pPr>
      <w:r w:rsidRPr="0008164B">
        <w:rPr>
          <w:rStyle w:val="FootnoteReference"/>
          <w:color w:val="000000" w:themeColor="text1"/>
          <w:sz w:val="16"/>
        </w:rPr>
        <w:footnoteRef/>
      </w:r>
      <w:r w:rsidRPr="0008164B">
        <w:rPr>
          <w:color w:val="000000" w:themeColor="text1"/>
          <w:sz w:val="16"/>
        </w:rPr>
        <w:t xml:space="preserve">ES fondu tīmekļa vietnes sadaļā par </w:t>
      </w:r>
      <w:r w:rsidRPr="0008164B">
        <w:rPr>
          <w:sz w:val="16"/>
        </w:rPr>
        <w:t>ES fondu un Kohēzijas fonda kopējiem EK veiktiem maksājumiem dalībvalstīm:</w:t>
      </w:r>
      <w:r w:rsidRPr="0008164B">
        <w:rPr>
          <w:color w:val="000000" w:themeColor="text1"/>
          <w:sz w:val="16"/>
        </w:rPr>
        <w:t xml:space="preserve"> </w:t>
      </w:r>
      <w:hyperlink r:id="rId4" w:history="1">
        <w:r w:rsidR="00C51BB0" w:rsidRPr="00C51BB0">
          <w:rPr>
            <w:rStyle w:val="Hyperlink"/>
            <w:sz w:val="16"/>
          </w:rPr>
          <w:t>http://www.esfondi.lv/kopejie-ek-veiktie-maksajumi-dalibvalstim</w:t>
        </w:r>
      </w:hyperlink>
    </w:p>
  </w:footnote>
  <w:footnote w:id="7">
    <w:p w14:paraId="03770150" w14:textId="6D8572FB" w:rsidR="00872911" w:rsidRDefault="00872911" w:rsidP="00872911">
      <w:pPr>
        <w:pStyle w:val="FootnoteText"/>
        <w:jc w:val="both"/>
      </w:pPr>
      <w:r>
        <w:rPr>
          <w:rStyle w:val="FootnoteReference"/>
        </w:rPr>
        <w:footnoteRef/>
      </w:r>
      <w:r>
        <w:t xml:space="preserve"> Regulas</w:t>
      </w:r>
      <w:r w:rsidRPr="00872911">
        <w:t xml:space="preserve"> </w:t>
      </w:r>
      <w:r>
        <w:t xml:space="preserve">Nr. 1303/2013 136.panta 1.punkts: </w:t>
      </w:r>
      <w:r w:rsidRPr="009B0EE9">
        <w:t>Komisija atceļ saistības jebkurai darbības programmas summas daļai, kas nav izmantota avansa un starpposma maksājumiem vai par kuru līdz 31. decembrim trešajā gadā pēc programmas budžeta saistību gada nav sagatavots maksājuma pieteikums saskaņā ar 131. pantu, vai par kuru nav iesniegts maksājuma pieteikums saskaņā ar 135. pantu</w:t>
      </w:r>
      <w:r w:rsidR="00825EC8" w:rsidRPr="009B0EE9">
        <w:t xml:space="preserve"> (N+3 princips)</w:t>
      </w:r>
      <w:r w:rsidRPr="009B0EE9">
        <w:t>.</w:t>
      </w:r>
    </w:p>
  </w:footnote>
  <w:footnote w:id="8">
    <w:p w14:paraId="1DED273F" w14:textId="65B281D1" w:rsidR="009B0EE9" w:rsidRDefault="009B0EE9" w:rsidP="009B0EE9">
      <w:pPr>
        <w:pStyle w:val="FootnoteText"/>
        <w:jc w:val="both"/>
      </w:pPr>
      <w:r>
        <w:rPr>
          <w:rStyle w:val="FootnoteReference"/>
        </w:rPr>
        <w:footnoteRef/>
      </w:r>
      <w:r>
        <w:t xml:space="preserve"> </w:t>
      </w:r>
      <w:r w:rsidRPr="009B0EE9">
        <w:t>2017.gadā liela nozīme arī sarunām ar Eiropas Komisiju par Darbības programmas grozījumiem, lai panāktu maksimāli labāko risinājumu Latvijas interesēs, t.sk. samazinot 2018.gada snieguma ietvara mērķi izglītības un sociālās jomas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400518"/>
      <w:docPartObj>
        <w:docPartGallery w:val="Page Numbers (Top of Page)"/>
        <w:docPartUnique/>
      </w:docPartObj>
    </w:sdtPr>
    <w:sdtEndPr>
      <w:rPr>
        <w:noProof/>
      </w:rPr>
    </w:sdtEndPr>
    <w:sdtContent>
      <w:p w14:paraId="7885E5AC" w14:textId="60E1344D" w:rsidR="004F42B6" w:rsidRDefault="004F42B6">
        <w:pPr>
          <w:pStyle w:val="Header"/>
          <w:jc w:val="center"/>
        </w:pPr>
        <w:r>
          <w:fldChar w:fldCharType="begin"/>
        </w:r>
        <w:r>
          <w:instrText xml:space="preserve"> PAGE   \* MERGEFORMAT </w:instrText>
        </w:r>
        <w:r>
          <w:fldChar w:fldCharType="separate"/>
        </w:r>
        <w:r w:rsidR="0044479A">
          <w:rPr>
            <w:noProof/>
          </w:rPr>
          <w:t>4</w:t>
        </w:r>
        <w:r>
          <w:rPr>
            <w:noProof/>
          </w:rPr>
          <w:fldChar w:fldCharType="end"/>
        </w:r>
      </w:p>
    </w:sdtContent>
  </w:sdt>
  <w:p w14:paraId="0C8E0C95" w14:textId="26BB3FA8" w:rsidR="004F42B6" w:rsidRDefault="004F42B6" w:rsidP="00947B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E53"/>
    <w:multiLevelType w:val="hybridMultilevel"/>
    <w:tmpl w:val="126E6C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D06C54"/>
    <w:multiLevelType w:val="hybridMultilevel"/>
    <w:tmpl w:val="64C8E8E8"/>
    <w:lvl w:ilvl="0" w:tplc="6B1A2074">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A50485"/>
    <w:multiLevelType w:val="hybridMultilevel"/>
    <w:tmpl w:val="AB38EE72"/>
    <w:lvl w:ilvl="0" w:tplc="3EEEA132">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9258C"/>
    <w:multiLevelType w:val="hybridMultilevel"/>
    <w:tmpl w:val="68D8B1A6"/>
    <w:lvl w:ilvl="0" w:tplc="D6AADBA2">
      <w:start w:val="1"/>
      <w:numFmt w:val="decimal"/>
      <w:lvlText w:val="%1)"/>
      <w:lvlJc w:val="left"/>
      <w:pPr>
        <w:tabs>
          <w:tab w:val="num" w:pos="720"/>
        </w:tabs>
        <w:ind w:left="720" w:hanging="360"/>
      </w:pPr>
    </w:lvl>
    <w:lvl w:ilvl="1" w:tplc="8B42E8CA" w:tentative="1">
      <w:start w:val="1"/>
      <w:numFmt w:val="decimal"/>
      <w:lvlText w:val="%2)"/>
      <w:lvlJc w:val="left"/>
      <w:pPr>
        <w:tabs>
          <w:tab w:val="num" w:pos="1440"/>
        </w:tabs>
        <w:ind w:left="1440" w:hanging="360"/>
      </w:pPr>
    </w:lvl>
    <w:lvl w:ilvl="2" w:tplc="34BC91F6" w:tentative="1">
      <w:start w:val="1"/>
      <w:numFmt w:val="decimal"/>
      <w:lvlText w:val="%3)"/>
      <w:lvlJc w:val="left"/>
      <w:pPr>
        <w:tabs>
          <w:tab w:val="num" w:pos="2160"/>
        </w:tabs>
        <w:ind w:left="2160" w:hanging="360"/>
      </w:pPr>
    </w:lvl>
    <w:lvl w:ilvl="3" w:tplc="FAC28BB8" w:tentative="1">
      <w:start w:val="1"/>
      <w:numFmt w:val="decimal"/>
      <w:lvlText w:val="%4)"/>
      <w:lvlJc w:val="left"/>
      <w:pPr>
        <w:tabs>
          <w:tab w:val="num" w:pos="2880"/>
        </w:tabs>
        <w:ind w:left="2880" w:hanging="360"/>
      </w:pPr>
    </w:lvl>
    <w:lvl w:ilvl="4" w:tplc="97DAF21A" w:tentative="1">
      <w:start w:val="1"/>
      <w:numFmt w:val="decimal"/>
      <w:lvlText w:val="%5)"/>
      <w:lvlJc w:val="left"/>
      <w:pPr>
        <w:tabs>
          <w:tab w:val="num" w:pos="3600"/>
        </w:tabs>
        <w:ind w:left="3600" w:hanging="360"/>
      </w:pPr>
    </w:lvl>
    <w:lvl w:ilvl="5" w:tplc="5F7C772E" w:tentative="1">
      <w:start w:val="1"/>
      <w:numFmt w:val="decimal"/>
      <w:lvlText w:val="%6)"/>
      <w:lvlJc w:val="left"/>
      <w:pPr>
        <w:tabs>
          <w:tab w:val="num" w:pos="4320"/>
        </w:tabs>
        <w:ind w:left="4320" w:hanging="360"/>
      </w:pPr>
    </w:lvl>
    <w:lvl w:ilvl="6" w:tplc="A4FAACAC" w:tentative="1">
      <w:start w:val="1"/>
      <w:numFmt w:val="decimal"/>
      <w:lvlText w:val="%7)"/>
      <w:lvlJc w:val="left"/>
      <w:pPr>
        <w:tabs>
          <w:tab w:val="num" w:pos="5040"/>
        </w:tabs>
        <w:ind w:left="5040" w:hanging="360"/>
      </w:pPr>
    </w:lvl>
    <w:lvl w:ilvl="7" w:tplc="B636E28E" w:tentative="1">
      <w:start w:val="1"/>
      <w:numFmt w:val="decimal"/>
      <w:lvlText w:val="%8)"/>
      <w:lvlJc w:val="left"/>
      <w:pPr>
        <w:tabs>
          <w:tab w:val="num" w:pos="5760"/>
        </w:tabs>
        <w:ind w:left="5760" w:hanging="360"/>
      </w:pPr>
    </w:lvl>
    <w:lvl w:ilvl="8" w:tplc="F0F0CF9E" w:tentative="1">
      <w:start w:val="1"/>
      <w:numFmt w:val="decimal"/>
      <w:lvlText w:val="%9)"/>
      <w:lvlJc w:val="left"/>
      <w:pPr>
        <w:tabs>
          <w:tab w:val="num" w:pos="6480"/>
        </w:tabs>
        <w:ind w:left="6480" w:hanging="360"/>
      </w:pPr>
    </w:lvl>
  </w:abstractNum>
  <w:abstractNum w:abstractNumId="4" w15:restartNumberingAfterBreak="0">
    <w:nsid w:val="287A10C0"/>
    <w:multiLevelType w:val="hybridMultilevel"/>
    <w:tmpl w:val="7D0840FC"/>
    <w:lvl w:ilvl="0" w:tplc="0426000B">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 w15:restartNumberingAfterBreak="0">
    <w:nsid w:val="300D0D16"/>
    <w:multiLevelType w:val="hybridMultilevel"/>
    <w:tmpl w:val="77F21DFC"/>
    <w:lvl w:ilvl="0" w:tplc="04260001">
      <w:start w:val="1"/>
      <w:numFmt w:val="bullet"/>
      <w:lvlText w:val=""/>
      <w:lvlJc w:val="left"/>
      <w:pPr>
        <w:ind w:left="780" w:hanging="360"/>
      </w:pPr>
      <w:rPr>
        <w:rFonts w:ascii="Symbol" w:hAnsi="Symbol" w:hint="default"/>
      </w:rPr>
    </w:lvl>
    <w:lvl w:ilvl="1" w:tplc="0824B9DE">
      <w:start w:val="1"/>
      <w:numFmt w:val="lowerLetter"/>
      <w:lvlText w:val="%2)"/>
      <w:lvlJc w:val="left"/>
      <w:pPr>
        <w:ind w:left="1500" w:hanging="360"/>
      </w:pPr>
      <w:rPr>
        <w:rFonts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32A47C2C"/>
    <w:multiLevelType w:val="multilevel"/>
    <w:tmpl w:val="E58CAB1E"/>
    <w:lvl w:ilvl="0">
      <w:start w:val="2"/>
      <w:numFmt w:val="decimal"/>
      <w:lvlText w:val="%1."/>
      <w:lvlJc w:val="left"/>
      <w:pPr>
        <w:ind w:left="360" w:hanging="360"/>
      </w:pPr>
      <w:rPr>
        <w:rFonts w:eastAsia="Calibri" w:hint="default"/>
        <w:b w:val="0"/>
      </w:rPr>
    </w:lvl>
    <w:lvl w:ilvl="1">
      <w:start w:val="1"/>
      <w:numFmt w:val="decimal"/>
      <w:lvlText w:val="%1.%2."/>
      <w:lvlJc w:val="left"/>
      <w:pPr>
        <w:ind w:left="502" w:hanging="360"/>
      </w:pPr>
      <w:rPr>
        <w:rFonts w:eastAsia="Calibri" w:hint="default"/>
        <w:b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39165169"/>
    <w:multiLevelType w:val="hybridMultilevel"/>
    <w:tmpl w:val="F94A1A36"/>
    <w:lvl w:ilvl="0" w:tplc="04260001">
      <w:start w:val="1"/>
      <w:numFmt w:val="bullet"/>
      <w:lvlText w:val=""/>
      <w:lvlJc w:val="left"/>
      <w:pPr>
        <w:ind w:left="1147" w:hanging="360"/>
      </w:pPr>
      <w:rPr>
        <w:rFonts w:ascii="Symbol" w:hAnsi="Symbol" w:hint="default"/>
      </w:rPr>
    </w:lvl>
    <w:lvl w:ilvl="1" w:tplc="04260003" w:tentative="1">
      <w:start w:val="1"/>
      <w:numFmt w:val="bullet"/>
      <w:lvlText w:val="o"/>
      <w:lvlJc w:val="left"/>
      <w:pPr>
        <w:ind w:left="1867" w:hanging="360"/>
      </w:pPr>
      <w:rPr>
        <w:rFonts w:ascii="Courier New" w:hAnsi="Courier New" w:cs="Courier New" w:hint="default"/>
      </w:rPr>
    </w:lvl>
    <w:lvl w:ilvl="2" w:tplc="04260005" w:tentative="1">
      <w:start w:val="1"/>
      <w:numFmt w:val="bullet"/>
      <w:lvlText w:val=""/>
      <w:lvlJc w:val="left"/>
      <w:pPr>
        <w:ind w:left="2587" w:hanging="360"/>
      </w:pPr>
      <w:rPr>
        <w:rFonts w:ascii="Wingdings" w:hAnsi="Wingdings" w:hint="default"/>
      </w:rPr>
    </w:lvl>
    <w:lvl w:ilvl="3" w:tplc="04260001" w:tentative="1">
      <w:start w:val="1"/>
      <w:numFmt w:val="bullet"/>
      <w:lvlText w:val=""/>
      <w:lvlJc w:val="left"/>
      <w:pPr>
        <w:ind w:left="3307" w:hanging="360"/>
      </w:pPr>
      <w:rPr>
        <w:rFonts w:ascii="Symbol" w:hAnsi="Symbol" w:hint="default"/>
      </w:rPr>
    </w:lvl>
    <w:lvl w:ilvl="4" w:tplc="04260003" w:tentative="1">
      <w:start w:val="1"/>
      <w:numFmt w:val="bullet"/>
      <w:lvlText w:val="o"/>
      <w:lvlJc w:val="left"/>
      <w:pPr>
        <w:ind w:left="4027" w:hanging="360"/>
      </w:pPr>
      <w:rPr>
        <w:rFonts w:ascii="Courier New" w:hAnsi="Courier New" w:cs="Courier New" w:hint="default"/>
      </w:rPr>
    </w:lvl>
    <w:lvl w:ilvl="5" w:tplc="04260005" w:tentative="1">
      <w:start w:val="1"/>
      <w:numFmt w:val="bullet"/>
      <w:lvlText w:val=""/>
      <w:lvlJc w:val="left"/>
      <w:pPr>
        <w:ind w:left="4747" w:hanging="360"/>
      </w:pPr>
      <w:rPr>
        <w:rFonts w:ascii="Wingdings" w:hAnsi="Wingdings" w:hint="default"/>
      </w:rPr>
    </w:lvl>
    <w:lvl w:ilvl="6" w:tplc="04260001" w:tentative="1">
      <w:start w:val="1"/>
      <w:numFmt w:val="bullet"/>
      <w:lvlText w:val=""/>
      <w:lvlJc w:val="left"/>
      <w:pPr>
        <w:ind w:left="5467" w:hanging="360"/>
      </w:pPr>
      <w:rPr>
        <w:rFonts w:ascii="Symbol" w:hAnsi="Symbol" w:hint="default"/>
      </w:rPr>
    </w:lvl>
    <w:lvl w:ilvl="7" w:tplc="04260003" w:tentative="1">
      <w:start w:val="1"/>
      <w:numFmt w:val="bullet"/>
      <w:lvlText w:val="o"/>
      <w:lvlJc w:val="left"/>
      <w:pPr>
        <w:ind w:left="6187" w:hanging="360"/>
      </w:pPr>
      <w:rPr>
        <w:rFonts w:ascii="Courier New" w:hAnsi="Courier New" w:cs="Courier New" w:hint="default"/>
      </w:rPr>
    </w:lvl>
    <w:lvl w:ilvl="8" w:tplc="04260005" w:tentative="1">
      <w:start w:val="1"/>
      <w:numFmt w:val="bullet"/>
      <w:lvlText w:val=""/>
      <w:lvlJc w:val="left"/>
      <w:pPr>
        <w:ind w:left="6907" w:hanging="360"/>
      </w:pPr>
      <w:rPr>
        <w:rFonts w:ascii="Wingdings" w:hAnsi="Wingdings" w:hint="default"/>
      </w:rPr>
    </w:lvl>
  </w:abstractNum>
  <w:abstractNum w:abstractNumId="8" w15:restartNumberingAfterBreak="0">
    <w:nsid w:val="406B0A1B"/>
    <w:multiLevelType w:val="hybridMultilevel"/>
    <w:tmpl w:val="C5B0A606"/>
    <w:lvl w:ilvl="0" w:tplc="04260011">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6D41C4"/>
    <w:multiLevelType w:val="hybridMultilevel"/>
    <w:tmpl w:val="9F9C9CDA"/>
    <w:lvl w:ilvl="0" w:tplc="0824B9DE">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0" w15:restartNumberingAfterBreak="0">
    <w:nsid w:val="4676567D"/>
    <w:multiLevelType w:val="hybridMultilevel"/>
    <w:tmpl w:val="8A06A12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15:restartNumberingAfterBreak="0">
    <w:nsid w:val="4876090C"/>
    <w:multiLevelType w:val="hybridMultilevel"/>
    <w:tmpl w:val="6A1A058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546826"/>
    <w:multiLevelType w:val="multilevel"/>
    <w:tmpl w:val="81D091E4"/>
    <w:lvl w:ilvl="0">
      <w:start w:val="2"/>
      <w:numFmt w:val="decimal"/>
      <w:lvlText w:val="%1."/>
      <w:lvlJc w:val="left"/>
      <w:pPr>
        <w:ind w:left="360" w:hanging="360"/>
      </w:pPr>
      <w:rPr>
        <w:rFonts w:eastAsia="Calibri" w:hint="default"/>
      </w:rPr>
    </w:lvl>
    <w:lvl w:ilvl="1">
      <w:start w:val="1"/>
      <w:numFmt w:val="decimal"/>
      <w:lvlText w:val="%1.%2."/>
      <w:lvlJc w:val="left"/>
      <w:pPr>
        <w:ind w:left="502"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CE92AE4"/>
    <w:multiLevelType w:val="hybridMultilevel"/>
    <w:tmpl w:val="54C0A912"/>
    <w:lvl w:ilvl="0" w:tplc="600ABC6A">
      <w:start w:val="1"/>
      <w:numFmt w:val="decimal"/>
      <w:lvlText w:val="%1."/>
      <w:lvlJc w:val="left"/>
      <w:pPr>
        <w:ind w:left="360" w:hanging="360"/>
      </w:pPr>
      <w:rPr>
        <w:rFonts w:eastAsia="Calibri"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FBC6DB3"/>
    <w:multiLevelType w:val="multilevel"/>
    <w:tmpl w:val="DE4CAE16"/>
    <w:lvl w:ilvl="0">
      <w:start w:val="2"/>
      <w:numFmt w:val="decimal"/>
      <w:lvlText w:val="%1."/>
      <w:lvlJc w:val="left"/>
      <w:pPr>
        <w:ind w:left="360" w:hanging="360"/>
      </w:pPr>
      <w:rPr>
        <w:rFonts w:eastAsia="Calibri" w:hint="default"/>
        <w:b w:val="0"/>
      </w:rPr>
    </w:lvl>
    <w:lvl w:ilvl="1">
      <w:start w:val="1"/>
      <w:numFmt w:val="decimal"/>
      <w:lvlText w:val="%1.%2."/>
      <w:lvlJc w:val="left"/>
      <w:pPr>
        <w:ind w:left="502" w:hanging="36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5FED4615"/>
    <w:multiLevelType w:val="hybridMultilevel"/>
    <w:tmpl w:val="C3F423E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648E5BCD"/>
    <w:multiLevelType w:val="hybridMultilevel"/>
    <w:tmpl w:val="399EB4F6"/>
    <w:lvl w:ilvl="0" w:tplc="EC2E4502">
      <w:start w:val="1"/>
      <w:numFmt w:val="lowerLetter"/>
      <w:lvlText w:val="%1)"/>
      <w:lvlJc w:val="left"/>
      <w:pPr>
        <w:tabs>
          <w:tab w:val="num" w:pos="720"/>
        </w:tabs>
        <w:ind w:left="720" w:hanging="360"/>
      </w:pPr>
    </w:lvl>
    <w:lvl w:ilvl="1" w:tplc="AFD28040" w:tentative="1">
      <w:start w:val="1"/>
      <w:numFmt w:val="lowerLetter"/>
      <w:lvlText w:val="%2)"/>
      <w:lvlJc w:val="left"/>
      <w:pPr>
        <w:tabs>
          <w:tab w:val="num" w:pos="1440"/>
        </w:tabs>
        <w:ind w:left="1440" w:hanging="360"/>
      </w:pPr>
    </w:lvl>
    <w:lvl w:ilvl="2" w:tplc="BD2A6CA8" w:tentative="1">
      <w:start w:val="1"/>
      <w:numFmt w:val="lowerLetter"/>
      <w:lvlText w:val="%3)"/>
      <w:lvlJc w:val="left"/>
      <w:pPr>
        <w:tabs>
          <w:tab w:val="num" w:pos="2160"/>
        </w:tabs>
        <w:ind w:left="2160" w:hanging="360"/>
      </w:pPr>
    </w:lvl>
    <w:lvl w:ilvl="3" w:tplc="E634E2D2" w:tentative="1">
      <w:start w:val="1"/>
      <w:numFmt w:val="lowerLetter"/>
      <w:lvlText w:val="%4)"/>
      <w:lvlJc w:val="left"/>
      <w:pPr>
        <w:tabs>
          <w:tab w:val="num" w:pos="2880"/>
        </w:tabs>
        <w:ind w:left="2880" w:hanging="360"/>
      </w:pPr>
    </w:lvl>
    <w:lvl w:ilvl="4" w:tplc="2FC64072" w:tentative="1">
      <w:start w:val="1"/>
      <w:numFmt w:val="lowerLetter"/>
      <w:lvlText w:val="%5)"/>
      <w:lvlJc w:val="left"/>
      <w:pPr>
        <w:tabs>
          <w:tab w:val="num" w:pos="3600"/>
        </w:tabs>
        <w:ind w:left="3600" w:hanging="360"/>
      </w:pPr>
    </w:lvl>
    <w:lvl w:ilvl="5" w:tplc="A41C4B0A" w:tentative="1">
      <w:start w:val="1"/>
      <w:numFmt w:val="lowerLetter"/>
      <w:lvlText w:val="%6)"/>
      <w:lvlJc w:val="left"/>
      <w:pPr>
        <w:tabs>
          <w:tab w:val="num" w:pos="4320"/>
        </w:tabs>
        <w:ind w:left="4320" w:hanging="360"/>
      </w:pPr>
    </w:lvl>
    <w:lvl w:ilvl="6" w:tplc="43F471D2" w:tentative="1">
      <w:start w:val="1"/>
      <w:numFmt w:val="lowerLetter"/>
      <w:lvlText w:val="%7)"/>
      <w:lvlJc w:val="left"/>
      <w:pPr>
        <w:tabs>
          <w:tab w:val="num" w:pos="5040"/>
        </w:tabs>
        <w:ind w:left="5040" w:hanging="360"/>
      </w:pPr>
    </w:lvl>
    <w:lvl w:ilvl="7" w:tplc="E20C6F70" w:tentative="1">
      <w:start w:val="1"/>
      <w:numFmt w:val="lowerLetter"/>
      <w:lvlText w:val="%8)"/>
      <w:lvlJc w:val="left"/>
      <w:pPr>
        <w:tabs>
          <w:tab w:val="num" w:pos="5760"/>
        </w:tabs>
        <w:ind w:left="5760" w:hanging="360"/>
      </w:pPr>
    </w:lvl>
    <w:lvl w:ilvl="8" w:tplc="836078F6" w:tentative="1">
      <w:start w:val="1"/>
      <w:numFmt w:val="lowerLetter"/>
      <w:lvlText w:val="%9)"/>
      <w:lvlJc w:val="left"/>
      <w:pPr>
        <w:tabs>
          <w:tab w:val="num" w:pos="6480"/>
        </w:tabs>
        <w:ind w:left="6480" w:hanging="360"/>
      </w:pPr>
    </w:lvl>
  </w:abstractNum>
  <w:abstractNum w:abstractNumId="17" w15:restartNumberingAfterBreak="0">
    <w:nsid w:val="67BF4F26"/>
    <w:multiLevelType w:val="hybridMultilevel"/>
    <w:tmpl w:val="AAF85BE6"/>
    <w:lvl w:ilvl="0" w:tplc="600ABC6A">
      <w:start w:val="1"/>
      <w:numFmt w:val="decimal"/>
      <w:lvlText w:val="%1."/>
      <w:lvlJc w:val="left"/>
      <w:pPr>
        <w:ind w:left="360" w:hanging="360"/>
      </w:pPr>
      <w:rPr>
        <w:rFonts w:eastAsia="Calibri"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2F60CD"/>
    <w:multiLevelType w:val="multilevel"/>
    <w:tmpl w:val="C076F66E"/>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502" w:hanging="360"/>
      </w:pPr>
      <w:rPr>
        <w:rFonts w:eastAsiaTheme="minorHAnsi" w:hint="default"/>
        <w:b w:val="0"/>
        <w:i w:val="0"/>
        <w:color w:val="auto"/>
        <w:sz w:val="24"/>
        <w:szCs w:val="24"/>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9" w15:restartNumberingAfterBreak="0">
    <w:nsid w:val="6CD44B46"/>
    <w:multiLevelType w:val="hybridMultilevel"/>
    <w:tmpl w:val="2688A0BA"/>
    <w:lvl w:ilvl="0" w:tplc="578CF352">
      <w:start w:val="593"/>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04018EB"/>
    <w:multiLevelType w:val="hybridMultilevel"/>
    <w:tmpl w:val="5AFA81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0622A47"/>
    <w:multiLevelType w:val="hybridMultilevel"/>
    <w:tmpl w:val="5D72649C"/>
    <w:lvl w:ilvl="0" w:tplc="436E2CF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33312D"/>
    <w:multiLevelType w:val="multilevel"/>
    <w:tmpl w:val="A510EEA2"/>
    <w:lvl w:ilvl="0">
      <w:start w:val="2"/>
      <w:numFmt w:val="decimal"/>
      <w:lvlText w:val="%1."/>
      <w:lvlJc w:val="left"/>
      <w:pPr>
        <w:ind w:left="360" w:hanging="360"/>
      </w:pPr>
      <w:rPr>
        <w:rFonts w:eastAsia="Calibri" w:hint="default"/>
        <w:b w:val="0"/>
      </w:rPr>
    </w:lvl>
    <w:lvl w:ilvl="1">
      <w:start w:val="1"/>
      <w:numFmt w:val="decimal"/>
      <w:lvlText w:val="%1.%2."/>
      <w:lvlJc w:val="left"/>
      <w:pPr>
        <w:ind w:left="502" w:hanging="360"/>
      </w:pPr>
      <w:rPr>
        <w:rFonts w:eastAsia="Calibri" w:hint="default"/>
        <w:b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79D666F1"/>
    <w:multiLevelType w:val="hybridMultilevel"/>
    <w:tmpl w:val="4F04A4C0"/>
    <w:lvl w:ilvl="0" w:tplc="4F2CE424">
      <w:start w:val="1"/>
      <w:numFmt w:val="decimal"/>
      <w:lvlText w:val="%1."/>
      <w:lvlJc w:val="left"/>
      <w:pPr>
        <w:ind w:left="786" w:hanging="360"/>
      </w:pPr>
      <w:rPr>
        <w:sz w:val="28"/>
      </w:rPr>
    </w:lvl>
    <w:lvl w:ilvl="1" w:tplc="04260001">
      <w:start w:val="1"/>
      <w:numFmt w:val="bullet"/>
      <w:lvlText w:val=""/>
      <w:lvlJc w:val="left"/>
      <w:pPr>
        <w:ind w:left="1353" w:hanging="360"/>
      </w:pPr>
      <w:rPr>
        <w:rFonts w:ascii="Symbol" w:hAnsi="Symbol" w:hint="default"/>
        <w:b/>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ED4A64"/>
    <w:multiLevelType w:val="hybridMultilevel"/>
    <w:tmpl w:val="43EAB9A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8"/>
  </w:num>
  <w:num w:numId="4">
    <w:abstractNumId w:val="1"/>
  </w:num>
  <w:num w:numId="5">
    <w:abstractNumId w:val="5"/>
  </w:num>
  <w:num w:numId="6">
    <w:abstractNumId w:val="9"/>
  </w:num>
  <w:num w:numId="7">
    <w:abstractNumId w:val="2"/>
  </w:num>
  <w:num w:numId="8">
    <w:abstractNumId w:val="15"/>
  </w:num>
  <w:num w:numId="9">
    <w:abstractNumId w:val="21"/>
  </w:num>
  <w:num w:numId="10">
    <w:abstractNumId w:val="19"/>
  </w:num>
  <w:num w:numId="11">
    <w:abstractNumId w:val="8"/>
  </w:num>
  <w:num w:numId="12">
    <w:abstractNumId w:val="3"/>
  </w:num>
  <w:num w:numId="13">
    <w:abstractNumId w:val="16"/>
  </w:num>
  <w:num w:numId="14">
    <w:abstractNumId w:val="14"/>
  </w:num>
  <w:num w:numId="15">
    <w:abstractNumId w:val="20"/>
  </w:num>
  <w:num w:numId="16">
    <w:abstractNumId w:val="13"/>
  </w:num>
  <w:num w:numId="17">
    <w:abstractNumId w:val="11"/>
  </w:num>
  <w:num w:numId="18">
    <w:abstractNumId w:val="24"/>
  </w:num>
  <w:num w:numId="19">
    <w:abstractNumId w:val="6"/>
  </w:num>
  <w:num w:numId="20">
    <w:abstractNumId w:val="22"/>
  </w:num>
  <w:num w:numId="21">
    <w:abstractNumId w:val="4"/>
  </w:num>
  <w:num w:numId="22">
    <w:abstractNumId w:val="23"/>
  </w:num>
  <w:num w:numId="23">
    <w:abstractNumId w:val="0"/>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DB"/>
    <w:rsid w:val="00000113"/>
    <w:rsid w:val="00004BBD"/>
    <w:rsid w:val="00007B61"/>
    <w:rsid w:val="00011FF7"/>
    <w:rsid w:val="000131E3"/>
    <w:rsid w:val="000177C8"/>
    <w:rsid w:val="000201F0"/>
    <w:rsid w:val="00027639"/>
    <w:rsid w:val="0003345C"/>
    <w:rsid w:val="00034E6C"/>
    <w:rsid w:val="00035523"/>
    <w:rsid w:val="00037205"/>
    <w:rsid w:val="0004087E"/>
    <w:rsid w:val="0004200D"/>
    <w:rsid w:val="000438BB"/>
    <w:rsid w:val="00051948"/>
    <w:rsid w:val="00051CE6"/>
    <w:rsid w:val="0005214B"/>
    <w:rsid w:val="00057EB0"/>
    <w:rsid w:val="00060B70"/>
    <w:rsid w:val="00061833"/>
    <w:rsid w:val="0006455E"/>
    <w:rsid w:val="00073BE5"/>
    <w:rsid w:val="00074F36"/>
    <w:rsid w:val="00080827"/>
    <w:rsid w:val="00081457"/>
    <w:rsid w:val="0008164B"/>
    <w:rsid w:val="000844FA"/>
    <w:rsid w:val="000939E6"/>
    <w:rsid w:val="00094601"/>
    <w:rsid w:val="000973A6"/>
    <w:rsid w:val="00097E4D"/>
    <w:rsid w:val="000A267D"/>
    <w:rsid w:val="000A302E"/>
    <w:rsid w:val="000A5AD1"/>
    <w:rsid w:val="000A5C17"/>
    <w:rsid w:val="000A734C"/>
    <w:rsid w:val="000A76BE"/>
    <w:rsid w:val="000B12FE"/>
    <w:rsid w:val="000B68CF"/>
    <w:rsid w:val="000C2AA0"/>
    <w:rsid w:val="000C39BB"/>
    <w:rsid w:val="000C7125"/>
    <w:rsid w:val="000D545F"/>
    <w:rsid w:val="000D65C7"/>
    <w:rsid w:val="000E0932"/>
    <w:rsid w:val="000E1ABA"/>
    <w:rsid w:val="000F1127"/>
    <w:rsid w:val="000F1CBF"/>
    <w:rsid w:val="000F4DAE"/>
    <w:rsid w:val="000F55CB"/>
    <w:rsid w:val="000F5F73"/>
    <w:rsid w:val="00101539"/>
    <w:rsid w:val="00105813"/>
    <w:rsid w:val="00110071"/>
    <w:rsid w:val="001151A7"/>
    <w:rsid w:val="0012511F"/>
    <w:rsid w:val="00125246"/>
    <w:rsid w:val="00125587"/>
    <w:rsid w:val="001269CA"/>
    <w:rsid w:val="0012795B"/>
    <w:rsid w:val="00132C0B"/>
    <w:rsid w:val="00141BF7"/>
    <w:rsid w:val="00142206"/>
    <w:rsid w:val="0014261F"/>
    <w:rsid w:val="0014737B"/>
    <w:rsid w:val="00150060"/>
    <w:rsid w:val="00150DAA"/>
    <w:rsid w:val="00156756"/>
    <w:rsid w:val="00157926"/>
    <w:rsid w:val="00161E7B"/>
    <w:rsid w:val="0016211C"/>
    <w:rsid w:val="0016220F"/>
    <w:rsid w:val="00166EC6"/>
    <w:rsid w:val="00167119"/>
    <w:rsid w:val="00170349"/>
    <w:rsid w:val="00170486"/>
    <w:rsid w:val="0017151E"/>
    <w:rsid w:val="00175E83"/>
    <w:rsid w:val="001764D2"/>
    <w:rsid w:val="00182514"/>
    <w:rsid w:val="00184621"/>
    <w:rsid w:val="0018493C"/>
    <w:rsid w:val="00184E4F"/>
    <w:rsid w:val="0018571E"/>
    <w:rsid w:val="001876AD"/>
    <w:rsid w:val="0019650B"/>
    <w:rsid w:val="001A4EB4"/>
    <w:rsid w:val="001B160F"/>
    <w:rsid w:val="001B16EB"/>
    <w:rsid w:val="001B5E0C"/>
    <w:rsid w:val="001B70A4"/>
    <w:rsid w:val="001C1C6A"/>
    <w:rsid w:val="001C220D"/>
    <w:rsid w:val="001C2A27"/>
    <w:rsid w:val="001D31EB"/>
    <w:rsid w:val="001D5725"/>
    <w:rsid w:val="001D5A0B"/>
    <w:rsid w:val="001D5A6C"/>
    <w:rsid w:val="001D796F"/>
    <w:rsid w:val="001F2CE3"/>
    <w:rsid w:val="001F303D"/>
    <w:rsid w:val="001F5182"/>
    <w:rsid w:val="001F70F2"/>
    <w:rsid w:val="001F7824"/>
    <w:rsid w:val="00207285"/>
    <w:rsid w:val="00210951"/>
    <w:rsid w:val="00210D87"/>
    <w:rsid w:val="00211FF5"/>
    <w:rsid w:val="00212A72"/>
    <w:rsid w:val="00214522"/>
    <w:rsid w:val="00217654"/>
    <w:rsid w:val="00225792"/>
    <w:rsid w:val="002314A2"/>
    <w:rsid w:val="002314FA"/>
    <w:rsid w:val="0023196F"/>
    <w:rsid w:val="0023336C"/>
    <w:rsid w:val="00241FA6"/>
    <w:rsid w:val="0024760D"/>
    <w:rsid w:val="0025053F"/>
    <w:rsid w:val="002505A2"/>
    <w:rsid w:val="00252B85"/>
    <w:rsid w:val="00253006"/>
    <w:rsid w:val="00255636"/>
    <w:rsid w:val="0026513D"/>
    <w:rsid w:val="00265C0B"/>
    <w:rsid w:val="0026656C"/>
    <w:rsid w:val="00266973"/>
    <w:rsid w:val="0027168C"/>
    <w:rsid w:val="00274C3D"/>
    <w:rsid w:val="0027503A"/>
    <w:rsid w:val="00282189"/>
    <w:rsid w:val="00291E27"/>
    <w:rsid w:val="0029527F"/>
    <w:rsid w:val="002A41D5"/>
    <w:rsid w:val="002A54AE"/>
    <w:rsid w:val="002B061F"/>
    <w:rsid w:val="002B1C6E"/>
    <w:rsid w:val="002B5A10"/>
    <w:rsid w:val="002B5C81"/>
    <w:rsid w:val="002B702E"/>
    <w:rsid w:val="002B73DE"/>
    <w:rsid w:val="002C4B6C"/>
    <w:rsid w:val="002C7032"/>
    <w:rsid w:val="002C7B83"/>
    <w:rsid w:val="002D235F"/>
    <w:rsid w:val="002D2FC7"/>
    <w:rsid w:val="002D3C02"/>
    <w:rsid w:val="002D5302"/>
    <w:rsid w:val="002D6160"/>
    <w:rsid w:val="002D79F5"/>
    <w:rsid w:val="002E0F8A"/>
    <w:rsid w:val="002E2841"/>
    <w:rsid w:val="002E28C2"/>
    <w:rsid w:val="002E6C4E"/>
    <w:rsid w:val="002E70E7"/>
    <w:rsid w:val="002F352B"/>
    <w:rsid w:val="002F3DF0"/>
    <w:rsid w:val="002F41D0"/>
    <w:rsid w:val="002F7603"/>
    <w:rsid w:val="003001F8"/>
    <w:rsid w:val="00301E10"/>
    <w:rsid w:val="00307031"/>
    <w:rsid w:val="00310428"/>
    <w:rsid w:val="00310C87"/>
    <w:rsid w:val="003116CC"/>
    <w:rsid w:val="00311E9A"/>
    <w:rsid w:val="00317812"/>
    <w:rsid w:val="003232BA"/>
    <w:rsid w:val="0032381A"/>
    <w:rsid w:val="00326786"/>
    <w:rsid w:val="003304A5"/>
    <w:rsid w:val="00333CC6"/>
    <w:rsid w:val="00334E96"/>
    <w:rsid w:val="00340086"/>
    <w:rsid w:val="00341AC2"/>
    <w:rsid w:val="00343E98"/>
    <w:rsid w:val="00345C5B"/>
    <w:rsid w:val="003465BA"/>
    <w:rsid w:val="00347166"/>
    <w:rsid w:val="00347D1B"/>
    <w:rsid w:val="00347FFA"/>
    <w:rsid w:val="003540F6"/>
    <w:rsid w:val="00357620"/>
    <w:rsid w:val="00357A62"/>
    <w:rsid w:val="00357ED9"/>
    <w:rsid w:val="00360804"/>
    <w:rsid w:val="00361D88"/>
    <w:rsid w:val="003623F3"/>
    <w:rsid w:val="003633B4"/>
    <w:rsid w:val="00365B91"/>
    <w:rsid w:val="0036722E"/>
    <w:rsid w:val="0037637C"/>
    <w:rsid w:val="00382D40"/>
    <w:rsid w:val="00387644"/>
    <w:rsid w:val="003940E4"/>
    <w:rsid w:val="003A048F"/>
    <w:rsid w:val="003A13B9"/>
    <w:rsid w:val="003A2759"/>
    <w:rsid w:val="003A2A5A"/>
    <w:rsid w:val="003A6C7C"/>
    <w:rsid w:val="003A6D9A"/>
    <w:rsid w:val="003B01E1"/>
    <w:rsid w:val="003B15D7"/>
    <w:rsid w:val="003C15F5"/>
    <w:rsid w:val="003C1C0D"/>
    <w:rsid w:val="003C3903"/>
    <w:rsid w:val="003C50FB"/>
    <w:rsid w:val="003C6907"/>
    <w:rsid w:val="003C7CE4"/>
    <w:rsid w:val="003D3AC0"/>
    <w:rsid w:val="003D4154"/>
    <w:rsid w:val="003D785B"/>
    <w:rsid w:val="003E1722"/>
    <w:rsid w:val="003E3146"/>
    <w:rsid w:val="003E6E22"/>
    <w:rsid w:val="003F0369"/>
    <w:rsid w:val="003F6EEF"/>
    <w:rsid w:val="00400A2B"/>
    <w:rsid w:val="004016F6"/>
    <w:rsid w:val="00402106"/>
    <w:rsid w:val="00402200"/>
    <w:rsid w:val="00405972"/>
    <w:rsid w:val="00417761"/>
    <w:rsid w:val="00422750"/>
    <w:rsid w:val="00424B1B"/>
    <w:rsid w:val="004257E1"/>
    <w:rsid w:val="0042690E"/>
    <w:rsid w:val="0042754E"/>
    <w:rsid w:val="00427EAD"/>
    <w:rsid w:val="00430F99"/>
    <w:rsid w:val="00432E55"/>
    <w:rsid w:val="004335DA"/>
    <w:rsid w:val="00443E64"/>
    <w:rsid w:val="00444353"/>
    <w:rsid w:val="0044479A"/>
    <w:rsid w:val="0044606A"/>
    <w:rsid w:val="00446CEC"/>
    <w:rsid w:val="00452781"/>
    <w:rsid w:val="00452E22"/>
    <w:rsid w:val="00454A38"/>
    <w:rsid w:val="00456F50"/>
    <w:rsid w:val="00457CE3"/>
    <w:rsid w:val="004601AF"/>
    <w:rsid w:val="00462E61"/>
    <w:rsid w:val="00465983"/>
    <w:rsid w:val="00466007"/>
    <w:rsid w:val="004678F2"/>
    <w:rsid w:val="00467CA1"/>
    <w:rsid w:val="0047271D"/>
    <w:rsid w:val="00472F42"/>
    <w:rsid w:val="00473293"/>
    <w:rsid w:val="00475785"/>
    <w:rsid w:val="00481166"/>
    <w:rsid w:val="0048442F"/>
    <w:rsid w:val="00484FA6"/>
    <w:rsid w:val="0048532E"/>
    <w:rsid w:val="00486F24"/>
    <w:rsid w:val="00493C72"/>
    <w:rsid w:val="00495FE9"/>
    <w:rsid w:val="004A1F15"/>
    <w:rsid w:val="004A304D"/>
    <w:rsid w:val="004A3A91"/>
    <w:rsid w:val="004A4997"/>
    <w:rsid w:val="004A68EE"/>
    <w:rsid w:val="004B0E64"/>
    <w:rsid w:val="004B76CE"/>
    <w:rsid w:val="004B7DF3"/>
    <w:rsid w:val="004C2839"/>
    <w:rsid w:val="004C2E76"/>
    <w:rsid w:val="004C60BB"/>
    <w:rsid w:val="004C7622"/>
    <w:rsid w:val="004C7CA1"/>
    <w:rsid w:val="004D0E20"/>
    <w:rsid w:val="004D3A6C"/>
    <w:rsid w:val="004D54FB"/>
    <w:rsid w:val="004E1BDE"/>
    <w:rsid w:val="004E2D4E"/>
    <w:rsid w:val="004E36CB"/>
    <w:rsid w:val="004E4079"/>
    <w:rsid w:val="004E60A3"/>
    <w:rsid w:val="004F2A7B"/>
    <w:rsid w:val="004F42B6"/>
    <w:rsid w:val="004F5936"/>
    <w:rsid w:val="00500CC3"/>
    <w:rsid w:val="00501A39"/>
    <w:rsid w:val="00501F87"/>
    <w:rsid w:val="00503B15"/>
    <w:rsid w:val="00506D7D"/>
    <w:rsid w:val="00507865"/>
    <w:rsid w:val="0051077F"/>
    <w:rsid w:val="00512453"/>
    <w:rsid w:val="00512C0B"/>
    <w:rsid w:val="005138CB"/>
    <w:rsid w:val="00515723"/>
    <w:rsid w:val="00516573"/>
    <w:rsid w:val="00523A90"/>
    <w:rsid w:val="00525AC5"/>
    <w:rsid w:val="0053115C"/>
    <w:rsid w:val="00531BA1"/>
    <w:rsid w:val="00532AB6"/>
    <w:rsid w:val="00535857"/>
    <w:rsid w:val="00537632"/>
    <w:rsid w:val="005410B8"/>
    <w:rsid w:val="00546DD5"/>
    <w:rsid w:val="005533D5"/>
    <w:rsid w:val="00557883"/>
    <w:rsid w:val="00562930"/>
    <w:rsid w:val="00562B26"/>
    <w:rsid w:val="005635C8"/>
    <w:rsid w:val="0057093A"/>
    <w:rsid w:val="00574FB6"/>
    <w:rsid w:val="0059166E"/>
    <w:rsid w:val="0059206A"/>
    <w:rsid w:val="00592804"/>
    <w:rsid w:val="0059443D"/>
    <w:rsid w:val="005A0106"/>
    <w:rsid w:val="005A29CA"/>
    <w:rsid w:val="005B1DFF"/>
    <w:rsid w:val="005B3C62"/>
    <w:rsid w:val="005C3132"/>
    <w:rsid w:val="005C64D0"/>
    <w:rsid w:val="005C667D"/>
    <w:rsid w:val="005C676B"/>
    <w:rsid w:val="005C6F76"/>
    <w:rsid w:val="005D5D84"/>
    <w:rsid w:val="005D5F6C"/>
    <w:rsid w:val="005E414D"/>
    <w:rsid w:val="005E4276"/>
    <w:rsid w:val="005E46F8"/>
    <w:rsid w:val="005E7B9C"/>
    <w:rsid w:val="005F1EDA"/>
    <w:rsid w:val="005F50B0"/>
    <w:rsid w:val="005F7F51"/>
    <w:rsid w:val="00602A23"/>
    <w:rsid w:val="00603407"/>
    <w:rsid w:val="00603AAF"/>
    <w:rsid w:val="0061083B"/>
    <w:rsid w:val="006111EF"/>
    <w:rsid w:val="00614193"/>
    <w:rsid w:val="00615B7A"/>
    <w:rsid w:val="006175F0"/>
    <w:rsid w:val="00617EF8"/>
    <w:rsid w:val="006237BD"/>
    <w:rsid w:val="00624251"/>
    <w:rsid w:val="00625A9A"/>
    <w:rsid w:val="006306A5"/>
    <w:rsid w:val="00630757"/>
    <w:rsid w:val="006320C7"/>
    <w:rsid w:val="0063484F"/>
    <w:rsid w:val="00637DFE"/>
    <w:rsid w:val="00644FD8"/>
    <w:rsid w:val="006528A8"/>
    <w:rsid w:val="006567CC"/>
    <w:rsid w:val="00657060"/>
    <w:rsid w:val="00660235"/>
    <w:rsid w:val="00662016"/>
    <w:rsid w:val="0066274D"/>
    <w:rsid w:val="00664C3A"/>
    <w:rsid w:val="00667AD0"/>
    <w:rsid w:val="00673178"/>
    <w:rsid w:val="006737F3"/>
    <w:rsid w:val="006752E4"/>
    <w:rsid w:val="00676D5C"/>
    <w:rsid w:val="00684ADB"/>
    <w:rsid w:val="00685C64"/>
    <w:rsid w:val="00693241"/>
    <w:rsid w:val="0069476E"/>
    <w:rsid w:val="00697306"/>
    <w:rsid w:val="006A4072"/>
    <w:rsid w:val="006A4607"/>
    <w:rsid w:val="006A6441"/>
    <w:rsid w:val="006A65E3"/>
    <w:rsid w:val="006A6888"/>
    <w:rsid w:val="006B033A"/>
    <w:rsid w:val="006B098A"/>
    <w:rsid w:val="006B2E90"/>
    <w:rsid w:val="006B3FFE"/>
    <w:rsid w:val="006B4AE0"/>
    <w:rsid w:val="006B5C2F"/>
    <w:rsid w:val="006B7616"/>
    <w:rsid w:val="006C2DBF"/>
    <w:rsid w:val="006C6F3D"/>
    <w:rsid w:val="006D4772"/>
    <w:rsid w:val="006D55C0"/>
    <w:rsid w:val="006D65C3"/>
    <w:rsid w:val="006E225E"/>
    <w:rsid w:val="006F32E9"/>
    <w:rsid w:val="006F3437"/>
    <w:rsid w:val="006F5D1E"/>
    <w:rsid w:val="0070655A"/>
    <w:rsid w:val="007101BF"/>
    <w:rsid w:val="00711452"/>
    <w:rsid w:val="00711CDB"/>
    <w:rsid w:val="00712C06"/>
    <w:rsid w:val="00716137"/>
    <w:rsid w:val="00716796"/>
    <w:rsid w:val="007216B2"/>
    <w:rsid w:val="00723899"/>
    <w:rsid w:val="0072394F"/>
    <w:rsid w:val="00723A3A"/>
    <w:rsid w:val="00724D33"/>
    <w:rsid w:val="00724F17"/>
    <w:rsid w:val="00726E33"/>
    <w:rsid w:val="00732253"/>
    <w:rsid w:val="00732FD3"/>
    <w:rsid w:val="00735586"/>
    <w:rsid w:val="00735B40"/>
    <w:rsid w:val="00735E0A"/>
    <w:rsid w:val="00736706"/>
    <w:rsid w:val="007411F1"/>
    <w:rsid w:val="00743F75"/>
    <w:rsid w:val="007468B3"/>
    <w:rsid w:val="00746A81"/>
    <w:rsid w:val="00746ECD"/>
    <w:rsid w:val="007516E8"/>
    <w:rsid w:val="00752848"/>
    <w:rsid w:val="00753EEC"/>
    <w:rsid w:val="007540CF"/>
    <w:rsid w:val="007550A5"/>
    <w:rsid w:val="007561E6"/>
    <w:rsid w:val="00770650"/>
    <w:rsid w:val="007716FC"/>
    <w:rsid w:val="00773E87"/>
    <w:rsid w:val="00777090"/>
    <w:rsid w:val="00781D8C"/>
    <w:rsid w:val="007822D3"/>
    <w:rsid w:val="007844C1"/>
    <w:rsid w:val="0078555D"/>
    <w:rsid w:val="0079264C"/>
    <w:rsid w:val="00792FBE"/>
    <w:rsid w:val="00796D7B"/>
    <w:rsid w:val="007972BD"/>
    <w:rsid w:val="00797B8A"/>
    <w:rsid w:val="007A25AE"/>
    <w:rsid w:val="007A582C"/>
    <w:rsid w:val="007B00A3"/>
    <w:rsid w:val="007B0CE0"/>
    <w:rsid w:val="007B43D5"/>
    <w:rsid w:val="007B7485"/>
    <w:rsid w:val="007B7BA4"/>
    <w:rsid w:val="007C3117"/>
    <w:rsid w:val="007C3C22"/>
    <w:rsid w:val="007C51CC"/>
    <w:rsid w:val="007D3567"/>
    <w:rsid w:val="007E502E"/>
    <w:rsid w:val="007E6376"/>
    <w:rsid w:val="007E68A5"/>
    <w:rsid w:val="007E7D8C"/>
    <w:rsid w:val="007F2A2A"/>
    <w:rsid w:val="007F3724"/>
    <w:rsid w:val="007F7B16"/>
    <w:rsid w:val="008010F6"/>
    <w:rsid w:val="00803ED2"/>
    <w:rsid w:val="00805DCC"/>
    <w:rsid w:val="008078E5"/>
    <w:rsid w:val="00814FD3"/>
    <w:rsid w:val="00820FBF"/>
    <w:rsid w:val="00823B4E"/>
    <w:rsid w:val="00825EC8"/>
    <w:rsid w:val="008300C7"/>
    <w:rsid w:val="00831B8D"/>
    <w:rsid w:val="0083240E"/>
    <w:rsid w:val="00832912"/>
    <w:rsid w:val="008365C2"/>
    <w:rsid w:val="00836809"/>
    <w:rsid w:val="00847E10"/>
    <w:rsid w:val="008567A1"/>
    <w:rsid w:val="0085714A"/>
    <w:rsid w:val="0086090F"/>
    <w:rsid w:val="008622BE"/>
    <w:rsid w:val="00872911"/>
    <w:rsid w:val="00872DB7"/>
    <w:rsid w:val="00883BD9"/>
    <w:rsid w:val="00886DD2"/>
    <w:rsid w:val="008900DF"/>
    <w:rsid w:val="00893E1D"/>
    <w:rsid w:val="0089417B"/>
    <w:rsid w:val="008A2734"/>
    <w:rsid w:val="008B1F93"/>
    <w:rsid w:val="008B32B2"/>
    <w:rsid w:val="008B38EE"/>
    <w:rsid w:val="008B5B0D"/>
    <w:rsid w:val="008C21E4"/>
    <w:rsid w:val="008C5DE4"/>
    <w:rsid w:val="008C5E2A"/>
    <w:rsid w:val="008C6B48"/>
    <w:rsid w:val="008C7F9D"/>
    <w:rsid w:val="008D09BA"/>
    <w:rsid w:val="008D149E"/>
    <w:rsid w:val="008D32FA"/>
    <w:rsid w:val="008D41E7"/>
    <w:rsid w:val="008E002E"/>
    <w:rsid w:val="008E01A1"/>
    <w:rsid w:val="008E0D80"/>
    <w:rsid w:val="008E30D9"/>
    <w:rsid w:val="008E4B6B"/>
    <w:rsid w:val="008E5CA4"/>
    <w:rsid w:val="008F2668"/>
    <w:rsid w:val="008F4226"/>
    <w:rsid w:val="008F7405"/>
    <w:rsid w:val="00901698"/>
    <w:rsid w:val="00916EAB"/>
    <w:rsid w:val="009219B5"/>
    <w:rsid w:val="0092268E"/>
    <w:rsid w:val="00925BF3"/>
    <w:rsid w:val="00931E29"/>
    <w:rsid w:val="00933BDD"/>
    <w:rsid w:val="009404B9"/>
    <w:rsid w:val="00940E47"/>
    <w:rsid w:val="00942AB5"/>
    <w:rsid w:val="00942B42"/>
    <w:rsid w:val="00944EC7"/>
    <w:rsid w:val="00947BBB"/>
    <w:rsid w:val="009513C1"/>
    <w:rsid w:val="009627FD"/>
    <w:rsid w:val="00962AFF"/>
    <w:rsid w:val="0096398C"/>
    <w:rsid w:val="009667A7"/>
    <w:rsid w:val="00966F47"/>
    <w:rsid w:val="00967AFB"/>
    <w:rsid w:val="00967C9D"/>
    <w:rsid w:val="00967F42"/>
    <w:rsid w:val="009737BF"/>
    <w:rsid w:val="009740E3"/>
    <w:rsid w:val="00980605"/>
    <w:rsid w:val="0098250D"/>
    <w:rsid w:val="00985C95"/>
    <w:rsid w:val="009905E1"/>
    <w:rsid w:val="00992717"/>
    <w:rsid w:val="009A0686"/>
    <w:rsid w:val="009A06B4"/>
    <w:rsid w:val="009A776F"/>
    <w:rsid w:val="009B0EE9"/>
    <w:rsid w:val="009B2776"/>
    <w:rsid w:val="009B58FD"/>
    <w:rsid w:val="009B707F"/>
    <w:rsid w:val="009C4394"/>
    <w:rsid w:val="009C6B5C"/>
    <w:rsid w:val="009D277D"/>
    <w:rsid w:val="009D7411"/>
    <w:rsid w:val="009D7E62"/>
    <w:rsid w:val="009E1C78"/>
    <w:rsid w:val="009E245B"/>
    <w:rsid w:val="009F0C5F"/>
    <w:rsid w:val="009F2427"/>
    <w:rsid w:val="009F5465"/>
    <w:rsid w:val="009F5596"/>
    <w:rsid w:val="00A029ED"/>
    <w:rsid w:val="00A11081"/>
    <w:rsid w:val="00A130F2"/>
    <w:rsid w:val="00A145B1"/>
    <w:rsid w:val="00A15A55"/>
    <w:rsid w:val="00A17716"/>
    <w:rsid w:val="00A17F80"/>
    <w:rsid w:val="00A20951"/>
    <w:rsid w:val="00A21E6A"/>
    <w:rsid w:val="00A237A5"/>
    <w:rsid w:val="00A25997"/>
    <w:rsid w:val="00A32702"/>
    <w:rsid w:val="00A33F26"/>
    <w:rsid w:val="00A34826"/>
    <w:rsid w:val="00A35118"/>
    <w:rsid w:val="00A363C7"/>
    <w:rsid w:val="00A37FAF"/>
    <w:rsid w:val="00A416C8"/>
    <w:rsid w:val="00A43CD1"/>
    <w:rsid w:val="00A441A2"/>
    <w:rsid w:val="00A44763"/>
    <w:rsid w:val="00A5453E"/>
    <w:rsid w:val="00A564B5"/>
    <w:rsid w:val="00A63C44"/>
    <w:rsid w:val="00A63E93"/>
    <w:rsid w:val="00A646B3"/>
    <w:rsid w:val="00A64EBA"/>
    <w:rsid w:val="00A65F34"/>
    <w:rsid w:val="00A66422"/>
    <w:rsid w:val="00A743F8"/>
    <w:rsid w:val="00A81658"/>
    <w:rsid w:val="00A8379C"/>
    <w:rsid w:val="00A855AF"/>
    <w:rsid w:val="00A8632C"/>
    <w:rsid w:val="00A90223"/>
    <w:rsid w:val="00A9165D"/>
    <w:rsid w:val="00A92019"/>
    <w:rsid w:val="00A93E70"/>
    <w:rsid w:val="00A95A80"/>
    <w:rsid w:val="00AA07C3"/>
    <w:rsid w:val="00AA1B24"/>
    <w:rsid w:val="00AA4A7A"/>
    <w:rsid w:val="00AB04DB"/>
    <w:rsid w:val="00AB1338"/>
    <w:rsid w:val="00AB708D"/>
    <w:rsid w:val="00AB771C"/>
    <w:rsid w:val="00AB7CC9"/>
    <w:rsid w:val="00AC0CCA"/>
    <w:rsid w:val="00AC60AD"/>
    <w:rsid w:val="00AC6B28"/>
    <w:rsid w:val="00AC7758"/>
    <w:rsid w:val="00AE04A1"/>
    <w:rsid w:val="00AE39EB"/>
    <w:rsid w:val="00AE4B29"/>
    <w:rsid w:val="00AE524D"/>
    <w:rsid w:val="00AE6991"/>
    <w:rsid w:val="00AE709D"/>
    <w:rsid w:val="00AE7827"/>
    <w:rsid w:val="00AE79A0"/>
    <w:rsid w:val="00AF0314"/>
    <w:rsid w:val="00AF24A8"/>
    <w:rsid w:val="00AF2E5F"/>
    <w:rsid w:val="00AF43D1"/>
    <w:rsid w:val="00AF5C6A"/>
    <w:rsid w:val="00B028F5"/>
    <w:rsid w:val="00B03A9A"/>
    <w:rsid w:val="00B04C7E"/>
    <w:rsid w:val="00B05FDF"/>
    <w:rsid w:val="00B0721A"/>
    <w:rsid w:val="00B11908"/>
    <w:rsid w:val="00B12C2D"/>
    <w:rsid w:val="00B2076B"/>
    <w:rsid w:val="00B2546E"/>
    <w:rsid w:val="00B279A1"/>
    <w:rsid w:val="00B30A86"/>
    <w:rsid w:val="00B32030"/>
    <w:rsid w:val="00B32310"/>
    <w:rsid w:val="00B34A8A"/>
    <w:rsid w:val="00B4703B"/>
    <w:rsid w:val="00B5095D"/>
    <w:rsid w:val="00B5136C"/>
    <w:rsid w:val="00B51D49"/>
    <w:rsid w:val="00B535B2"/>
    <w:rsid w:val="00B605F2"/>
    <w:rsid w:val="00B61459"/>
    <w:rsid w:val="00B62953"/>
    <w:rsid w:val="00B63293"/>
    <w:rsid w:val="00B63A45"/>
    <w:rsid w:val="00B63C72"/>
    <w:rsid w:val="00B64E55"/>
    <w:rsid w:val="00B7100B"/>
    <w:rsid w:val="00B752B2"/>
    <w:rsid w:val="00B77DEA"/>
    <w:rsid w:val="00B854C0"/>
    <w:rsid w:val="00B93310"/>
    <w:rsid w:val="00B9639B"/>
    <w:rsid w:val="00B9731F"/>
    <w:rsid w:val="00B974C2"/>
    <w:rsid w:val="00BA22AA"/>
    <w:rsid w:val="00BA243A"/>
    <w:rsid w:val="00BA51AB"/>
    <w:rsid w:val="00BA56E3"/>
    <w:rsid w:val="00BB0753"/>
    <w:rsid w:val="00BB12BF"/>
    <w:rsid w:val="00BB15C2"/>
    <w:rsid w:val="00BB493C"/>
    <w:rsid w:val="00BB5D81"/>
    <w:rsid w:val="00BB6131"/>
    <w:rsid w:val="00BC24CF"/>
    <w:rsid w:val="00BC26D9"/>
    <w:rsid w:val="00BC443F"/>
    <w:rsid w:val="00BC7C8C"/>
    <w:rsid w:val="00BD2B4B"/>
    <w:rsid w:val="00BD32ED"/>
    <w:rsid w:val="00BD4945"/>
    <w:rsid w:val="00BD59BD"/>
    <w:rsid w:val="00BE20A6"/>
    <w:rsid w:val="00BE7417"/>
    <w:rsid w:val="00C00259"/>
    <w:rsid w:val="00C00937"/>
    <w:rsid w:val="00C010EA"/>
    <w:rsid w:val="00C02C8A"/>
    <w:rsid w:val="00C07899"/>
    <w:rsid w:val="00C07B0A"/>
    <w:rsid w:val="00C12A77"/>
    <w:rsid w:val="00C133C7"/>
    <w:rsid w:val="00C15002"/>
    <w:rsid w:val="00C15570"/>
    <w:rsid w:val="00C22B46"/>
    <w:rsid w:val="00C2310D"/>
    <w:rsid w:val="00C23DD6"/>
    <w:rsid w:val="00C26E12"/>
    <w:rsid w:val="00C40FF3"/>
    <w:rsid w:val="00C4423E"/>
    <w:rsid w:val="00C51BB0"/>
    <w:rsid w:val="00C5210A"/>
    <w:rsid w:val="00C52BD5"/>
    <w:rsid w:val="00C5535C"/>
    <w:rsid w:val="00C6059D"/>
    <w:rsid w:val="00C648FF"/>
    <w:rsid w:val="00C670E4"/>
    <w:rsid w:val="00C74DE6"/>
    <w:rsid w:val="00C800C7"/>
    <w:rsid w:val="00C80D75"/>
    <w:rsid w:val="00C814E3"/>
    <w:rsid w:val="00C84146"/>
    <w:rsid w:val="00C84F64"/>
    <w:rsid w:val="00C856E1"/>
    <w:rsid w:val="00C8760B"/>
    <w:rsid w:val="00C91159"/>
    <w:rsid w:val="00C9361B"/>
    <w:rsid w:val="00C94C54"/>
    <w:rsid w:val="00C974A3"/>
    <w:rsid w:val="00CA183B"/>
    <w:rsid w:val="00CA518F"/>
    <w:rsid w:val="00CB16D0"/>
    <w:rsid w:val="00CB1E34"/>
    <w:rsid w:val="00CC191D"/>
    <w:rsid w:val="00CC36E2"/>
    <w:rsid w:val="00CC673D"/>
    <w:rsid w:val="00CC7A2A"/>
    <w:rsid w:val="00CD142E"/>
    <w:rsid w:val="00CD3C2B"/>
    <w:rsid w:val="00CD42C5"/>
    <w:rsid w:val="00CD5291"/>
    <w:rsid w:val="00CF067B"/>
    <w:rsid w:val="00CF4A93"/>
    <w:rsid w:val="00D03BBC"/>
    <w:rsid w:val="00D059D4"/>
    <w:rsid w:val="00D0658C"/>
    <w:rsid w:val="00D066BB"/>
    <w:rsid w:val="00D06A41"/>
    <w:rsid w:val="00D10C40"/>
    <w:rsid w:val="00D14907"/>
    <w:rsid w:val="00D1696B"/>
    <w:rsid w:val="00D20061"/>
    <w:rsid w:val="00D203D0"/>
    <w:rsid w:val="00D20BC2"/>
    <w:rsid w:val="00D217BA"/>
    <w:rsid w:val="00D22DA1"/>
    <w:rsid w:val="00D30EE6"/>
    <w:rsid w:val="00D31E6C"/>
    <w:rsid w:val="00D32CD5"/>
    <w:rsid w:val="00D376CB"/>
    <w:rsid w:val="00D43243"/>
    <w:rsid w:val="00D43630"/>
    <w:rsid w:val="00D47858"/>
    <w:rsid w:val="00D522DE"/>
    <w:rsid w:val="00D535F1"/>
    <w:rsid w:val="00D53A16"/>
    <w:rsid w:val="00D543D6"/>
    <w:rsid w:val="00D637B2"/>
    <w:rsid w:val="00D75364"/>
    <w:rsid w:val="00D7660D"/>
    <w:rsid w:val="00D76D23"/>
    <w:rsid w:val="00D833DD"/>
    <w:rsid w:val="00D850DF"/>
    <w:rsid w:val="00D871F8"/>
    <w:rsid w:val="00D96336"/>
    <w:rsid w:val="00D96FAE"/>
    <w:rsid w:val="00DA03B0"/>
    <w:rsid w:val="00DA0896"/>
    <w:rsid w:val="00DA14F3"/>
    <w:rsid w:val="00DA33AB"/>
    <w:rsid w:val="00DA47D4"/>
    <w:rsid w:val="00DA775F"/>
    <w:rsid w:val="00DB203A"/>
    <w:rsid w:val="00DB5817"/>
    <w:rsid w:val="00DC058E"/>
    <w:rsid w:val="00DC1349"/>
    <w:rsid w:val="00DC32DE"/>
    <w:rsid w:val="00DC6BE5"/>
    <w:rsid w:val="00DC6C63"/>
    <w:rsid w:val="00DD00E7"/>
    <w:rsid w:val="00DD21B0"/>
    <w:rsid w:val="00DD4093"/>
    <w:rsid w:val="00DD49A2"/>
    <w:rsid w:val="00DD4D51"/>
    <w:rsid w:val="00DD63EB"/>
    <w:rsid w:val="00DE24F3"/>
    <w:rsid w:val="00DE30E6"/>
    <w:rsid w:val="00DE3FE6"/>
    <w:rsid w:val="00DE667B"/>
    <w:rsid w:val="00DF0286"/>
    <w:rsid w:val="00DF02C0"/>
    <w:rsid w:val="00DF074D"/>
    <w:rsid w:val="00DF0FAF"/>
    <w:rsid w:val="00E0017E"/>
    <w:rsid w:val="00E01228"/>
    <w:rsid w:val="00E0125F"/>
    <w:rsid w:val="00E06C5D"/>
    <w:rsid w:val="00E06F40"/>
    <w:rsid w:val="00E114D9"/>
    <w:rsid w:val="00E143A9"/>
    <w:rsid w:val="00E15670"/>
    <w:rsid w:val="00E20C87"/>
    <w:rsid w:val="00E26270"/>
    <w:rsid w:val="00E27AF6"/>
    <w:rsid w:val="00E305B3"/>
    <w:rsid w:val="00E30E23"/>
    <w:rsid w:val="00E31DE6"/>
    <w:rsid w:val="00E32E32"/>
    <w:rsid w:val="00E34FCE"/>
    <w:rsid w:val="00E3729B"/>
    <w:rsid w:val="00E4395E"/>
    <w:rsid w:val="00E46679"/>
    <w:rsid w:val="00E478C4"/>
    <w:rsid w:val="00E72755"/>
    <w:rsid w:val="00E72DA3"/>
    <w:rsid w:val="00E7516F"/>
    <w:rsid w:val="00E76168"/>
    <w:rsid w:val="00E763C2"/>
    <w:rsid w:val="00E77AD6"/>
    <w:rsid w:val="00E8012A"/>
    <w:rsid w:val="00E84873"/>
    <w:rsid w:val="00E84EBE"/>
    <w:rsid w:val="00E93C16"/>
    <w:rsid w:val="00EA3414"/>
    <w:rsid w:val="00EB1278"/>
    <w:rsid w:val="00EB276A"/>
    <w:rsid w:val="00EB4011"/>
    <w:rsid w:val="00EB4CBB"/>
    <w:rsid w:val="00EC09E0"/>
    <w:rsid w:val="00EC34DC"/>
    <w:rsid w:val="00EC3CE4"/>
    <w:rsid w:val="00EC42BD"/>
    <w:rsid w:val="00EC6753"/>
    <w:rsid w:val="00EC7E58"/>
    <w:rsid w:val="00ED37B4"/>
    <w:rsid w:val="00ED4A44"/>
    <w:rsid w:val="00ED5376"/>
    <w:rsid w:val="00EE18A8"/>
    <w:rsid w:val="00EE1A65"/>
    <w:rsid w:val="00EE51B0"/>
    <w:rsid w:val="00EF20AA"/>
    <w:rsid w:val="00EF2395"/>
    <w:rsid w:val="00EF6E3D"/>
    <w:rsid w:val="00F07333"/>
    <w:rsid w:val="00F10D42"/>
    <w:rsid w:val="00F14EBC"/>
    <w:rsid w:val="00F243BA"/>
    <w:rsid w:val="00F26067"/>
    <w:rsid w:val="00F30A40"/>
    <w:rsid w:val="00F31925"/>
    <w:rsid w:val="00F35E7E"/>
    <w:rsid w:val="00F35F3C"/>
    <w:rsid w:val="00F36769"/>
    <w:rsid w:val="00F4023A"/>
    <w:rsid w:val="00F41503"/>
    <w:rsid w:val="00F465A3"/>
    <w:rsid w:val="00F5184A"/>
    <w:rsid w:val="00F53BBA"/>
    <w:rsid w:val="00F544A8"/>
    <w:rsid w:val="00F65FED"/>
    <w:rsid w:val="00F66A9C"/>
    <w:rsid w:val="00F72D20"/>
    <w:rsid w:val="00F84BFB"/>
    <w:rsid w:val="00F93FDD"/>
    <w:rsid w:val="00F940B2"/>
    <w:rsid w:val="00F95A93"/>
    <w:rsid w:val="00FA2BD8"/>
    <w:rsid w:val="00FA7825"/>
    <w:rsid w:val="00FB2EBC"/>
    <w:rsid w:val="00FD3316"/>
    <w:rsid w:val="00FD4959"/>
    <w:rsid w:val="00FD78DF"/>
    <w:rsid w:val="00FF4970"/>
    <w:rsid w:val="00FF65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757"/>
  <w15:chartTrackingRefBased/>
  <w15:docId w15:val="{BCD40A59-44CB-4E0B-9C01-62CBD26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4ADB"/>
    <w:rPr>
      <w:sz w:val="16"/>
      <w:szCs w:val="16"/>
    </w:rPr>
  </w:style>
  <w:style w:type="paragraph" w:styleId="CommentText">
    <w:name w:val="annotation text"/>
    <w:basedOn w:val="Normal"/>
    <w:link w:val="CommentTextChar"/>
    <w:uiPriority w:val="99"/>
    <w:unhideWhenUsed/>
    <w:rsid w:val="00684ADB"/>
    <w:rPr>
      <w:sz w:val="20"/>
      <w:szCs w:val="20"/>
    </w:rPr>
  </w:style>
  <w:style w:type="character" w:customStyle="1" w:styleId="CommentTextChar">
    <w:name w:val="Comment Text Char"/>
    <w:basedOn w:val="DefaultParagraphFont"/>
    <w:link w:val="CommentText"/>
    <w:uiPriority w:val="99"/>
    <w:rsid w:val="00684ADB"/>
    <w:rPr>
      <w:sz w:val="20"/>
      <w:szCs w:val="20"/>
    </w:rPr>
  </w:style>
  <w:style w:type="paragraph" w:styleId="ListParagraph">
    <w:name w:val="List Paragraph"/>
    <w:aliases w:val="2,Strip"/>
    <w:basedOn w:val="Normal"/>
    <w:link w:val="ListParagraphChar"/>
    <w:uiPriority w:val="34"/>
    <w:qFormat/>
    <w:rsid w:val="00684ADB"/>
    <w:pPr>
      <w:ind w:left="720"/>
      <w:contextualSpacing/>
    </w:pPr>
  </w:style>
  <w:style w:type="character" w:styleId="Hyperlink">
    <w:name w:val="Hyperlink"/>
    <w:basedOn w:val="DefaultParagraphFont"/>
    <w:uiPriority w:val="99"/>
    <w:unhideWhenUsed/>
    <w:rsid w:val="00684ADB"/>
    <w:rPr>
      <w:color w:val="0563C1" w:themeColor="hyperlink"/>
      <w:u w:val="single"/>
    </w:rPr>
  </w:style>
  <w:style w:type="paragraph" w:styleId="Header">
    <w:name w:val="header"/>
    <w:basedOn w:val="Normal"/>
    <w:link w:val="HeaderChar"/>
    <w:uiPriority w:val="99"/>
    <w:unhideWhenUsed/>
    <w:rsid w:val="00684ADB"/>
    <w:pPr>
      <w:tabs>
        <w:tab w:val="center" w:pos="4153"/>
        <w:tab w:val="right" w:pos="8306"/>
      </w:tabs>
    </w:pPr>
  </w:style>
  <w:style w:type="character" w:customStyle="1" w:styleId="HeaderChar">
    <w:name w:val="Header Char"/>
    <w:basedOn w:val="DefaultParagraphFont"/>
    <w:link w:val="Header"/>
    <w:uiPriority w:val="99"/>
    <w:rsid w:val="00684ADB"/>
  </w:style>
  <w:style w:type="paragraph" w:styleId="Footer">
    <w:name w:val="footer"/>
    <w:basedOn w:val="Normal"/>
    <w:link w:val="FooterChar"/>
    <w:unhideWhenUsed/>
    <w:rsid w:val="00684ADB"/>
    <w:pPr>
      <w:tabs>
        <w:tab w:val="center" w:pos="4153"/>
        <w:tab w:val="right" w:pos="8306"/>
      </w:tabs>
    </w:pPr>
  </w:style>
  <w:style w:type="character" w:customStyle="1" w:styleId="FooterChar">
    <w:name w:val="Footer Char"/>
    <w:basedOn w:val="DefaultParagraphFont"/>
    <w:link w:val="Footer"/>
    <w:rsid w:val="00684ADB"/>
  </w:style>
  <w:style w:type="paragraph" w:styleId="FootnoteText">
    <w:name w:val="footnote text"/>
    <w:aliases w:val="Char, Char,Footnote,Fußnote,Footnote Text Char1,Vēres teksts Char Char Char Char Char Char Char Char Char Char Char Char1,Char Char Char Char Char Char Char Char Char Char Char Char Char Char Char Char Char Char Char1,-E Fußnotentext,fn,f"/>
    <w:basedOn w:val="Normal"/>
    <w:link w:val="FootnoteTextChar"/>
    <w:uiPriority w:val="99"/>
    <w:unhideWhenUsed/>
    <w:rsid w:val="00684ADB"/>
    <w:rPr>
      <w:sz w:val="20"/>
      <w:szCs w:val="20"/>
    </w:rPr>
  </w:style>
  <w:style w:type="character" w:customStyle="1" w:styleId="FootnoteTextChar">
    <w:name w:val="Footnote Text Char"/>
    <w:aliases w:val="Char Char, Char Char,Footnote Char,Fußnote Char,Footnote Text Char1 Char,Vēres teksts Char Char Char Char Char Char Char Char Char Char Char Char1 Char,-E Fußnotentext Char,fn Char,f Char"/>
    <w:basedOn w:val="DefaultParagraphFont"/>
    <w:link w:val="FootnoteText"/>
    <w:uiPriority w:val="99"/>
    <w:rsid w:val="00684AD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684ADB"/>
    <w:rPr>
      <w:vertAlign w:val="superscript"/>
    </w:rPr>
  </w:style>
  <w:style w:type="character" w:customStyle="1" w:styleId="ListParagraphChar">
    <w:name w:val="List Paragraph Char"/>
    <w:aliases w:val="2 Char,Strip Char"/>
    <w:link w:val="ListParagraph"/>
    <w:uiPriority w:val="34"/>
    <w:qFormat/>
    <w:locked/>
    <w:rsid w:val="00684ADB"/>
  </w:style>
  <w:style w:type="paragraph" w:styleId="BodyText">
    <w:name w:val="Body Text"/>
    <w:basedOn w:val="Normal"/>
    <w:link w:val="BodyTextChar"/>
    <w:rsid w:val="00684ADB"/>
    <w:pPr>
      <w:spacing w:before="120" w:after="120" w:line="276" w:lineRule="auto"/>
    </w:pPr>
    <w:rPr>
      <w:rFonts w:eastAsia="Times New Roman" w:cs="Times New Roman"/>
      <w:b/>
      <w:bCs/>
      <w:szCs w:val="24"/>
      <w:lang w:val="en-GB"/>
    </w:rPr>
  </w:style>
  <w:style w:type="character" w:customStyle="1" w:styleId="BodyTextChar">
    <w:name w:val="Body Text Char"/>
    <w:basedOn w:val="DefaultParagraphFont"/>
    <w:link w:val="BodyText"/>
    <w:rsid w:val="00684ADB"/>
    <w:rPr>
      <w:rFonts w:eastAsia="Times New Roman" w:cs="Times New Roman"/>
      <w:b/>
      <w:bCs/>
      <w:szCs w:val="24"/>
      <w:lang w:val="en-GB"/>
    </w:rPr>
  </w:style>
  <w:style w:type="paragraph" w:styleId="BalloonText">
    <w:name w:val="Balloon Text"/>
    <w:basedOn w:val="Normal"/>
    <w:link w:val="BalloonTextChar"/>
    <w:uiPriority w:val="99"/>
    <w:semiHidden/>
    <w:unhideWhenUsed/>
    <w:rsid w:val="00684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A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06B4"/>
    <w:rPr>
      <w:b/>
      <w:bCs/>
    </w:rPr>
  </w:style>
  <w:style w:type="character" w:customStyle="1" w:styleId="CommentSubjectChar">
    <w:name w:val="Comment Subject Char"/>
    <w:basedOn w:val="CommentTextChar"/>
    <w:link w:val="CommentSubject"/>
    <w:uiPriority w:val="99"/>
    <w:semiHidden/>
    <w:rsid w:val="009A06B4"/>
    <w:rPr>
      <w:b/>
      <w:bCs/>
      <w:sz w:val="20"/>
      <w:szCs w:val="20"/>
    </w:rPr>
  </w:style>
  <w:style w:type="character" w:styleId="FollowedHyperlink">
    <w:name w:val="FollowedHyperlink"/>
    <w:basedOn w:val="DefaultParagraphFont"/>
    <w:uiPriority w:val="99"/>
    <w:semiHidden/>
    <w:unhideWhenUsed/>
    <w:rsid w:val="000C7125"/>
    <w:rPr>
      <w:color w:val="954F72" w:themeColor="followedHyperlink"/>
      <w:u w:val="single"/>
    </w:rPr>
  </w:style>
  <w:style w:type="character" w:styleId="Strong">
    <w:name w:val="Strong"/>
    <w:uiPriority w:val="22"/>
    <w:qFormat/>
    <w:rsid w:val="00357ED9"/>
    <w:rPr>
      <w:b/>
      <w:bCs/>
    </w:rPr>
  </w:style>
  <w:style w:type="paragraph" w:styleId="NormalWeb">
    <w:name w:val="Normal (Web)"/>
    <w:basedOn w:val="Normal"/>
    <w:uiPriority w:val="99"/>
    <w:semiHidden/>
    <w:unhideWhenUsed/>
    <w:rsid w:val="00EC09E0"/>
    <w:pPr>
      <w:spacing w:before="100" w:beforeAutospacing="1" w:after="100" w:afterAutospacing="1"/>
    </w:pPr>
    <w:rPr>
      <w:rFonts w:eastAsia="Times New Roman" w:cs="Times New Roman"/>
      <w:szCs w:val="24"/>
      <w:lang w:eastAsia="lv-LV"/>
    </w:rPr>
  </w:style>
  <w:style w:type="table" w:styleId="TableGrid">
    <w:name w:val="Table Grid"/>
    <w:basedOn w:val="TableNormal"/>
    <w:uiPriority w:val="39"/>
    <w:rsid w:val="00F9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6690">
      <w:bodyDiv w:val="1"/>
      <w:marLeft w:val="0"/>
      <w:marRight w:val="0"/>
      <w:marTop w:val="0"/>
      <w:marBottom w:val="0"/>
      <w:divBdr>
        <w:top w:val="none" w:sz="0" w:space="0" w:color="auto"/>
        <w:left w:val="none" w:sz="0" w:space="0" w:color="auto"/>
        <w:bottom w:val="none" w:sz="0" w:space="0" w:color="auto"/>
        <w:right w:val="none" w:sz="0" w:space="0" w:color="auto"/>
      </w:divBdr>
    </w:div>
    <w:div w:id="199560629">
      <w:bodyDiv w:val="1"/>
      <w:marLeft w:val="0"/>
      <w:marRight w:val="0"/>
      <w:marTop w:val="0"/>
      <w:marBottom w:val="0"/>
      <w:divBdr>
        <w:top w:val="none" w:sz="0" w:space="0" w:color="auto"/>
        <w:left w:val="none" w:sz="0" w:space="0" w:color="auto"/>
        <w:bottom w:val="none" w:sz="0" w:space="0" w:color="auto"/>
        <w:right w:val="none" w:sz="0" w:space="0" w:color="auto"/>
      </w:divBdr>
    </w:div>
    <w:div w:id="228420615">
      <w:bodyDiv w:val="1"/>
      <w:marLeft w:val="0"/>
      <w:marRight w:val="0"/>
      <w:marTop w:val="0"/>
      <w:marBottom w:val="0"/>
      <w:divBdr>
        <w:top w:val="none" w:sz="0" w:space="0" w:color="auto"/>
        <w:left w:val="none" w:sz="0" w:space="0" w:color="auto"/>
        <w:bottom w:val="none" w:sz="0" w:space="0" w:color="auto"/>
        <w:right w:val="none" w:sz="0" w:space="0" w:color="auto"/>
      </w:divBdr>
    </w:div>
    <w:div w:id="589630166">
      <w:bodyDiv w:val="1"/>
      <w:marLeft w:val="0"/>
      <w:marRight w:val="0"/>
      <w:marTop w:val="0"/>
      <w:marBottom w:val="0"/>
      <w:divBdr>
        <w:top w:val="none" w:sz="0" w:space="0" w:color="auto"/>
        <w:left w:val="none" w:sz="0" w:space="0" w:color="auto"/>
        <w:bottom w:val="none" w:sz="0" w:space="0" w:color="auto"/>
        <w:right w:val="none" w:sz="0" w:space="0" w:color="auto"/>
      </w:divBdr>
    </w:div>
    <w:div w:id="617487913">
      <w:bodyDiv w:val="1"/>
      <w:marLeft w:val="0"/>
      <w:marRight w:val="0"/>
      <w:marTop w:val="0"/>
      <w:marBottom w:val="0"/>
      <w:divBdr>
        <w:top w:val="none" w:sz="0" w:space="0" w:color="auto"/>
        <w:left w:val="none" w:sz="0" w:space="0" w:color="auto"/>
        <w:bottom w:val="none" w:sz="0" w:space="0" w:color="auto"/>
        <w:right w:val="none" w:sz="0" w:space="0" w:color="auto"/>
      </w:divBdr>
    </w:div>
    <w:div w:id="745347740">
      <w:bodyDiv w:val="1"/>
      <w:marLeft w:val="0"/>
      <w:marRight w:val="0"/>
      <w:marTop w:val="0"/>
      <w:marBottom w:val="0"/>
      <w:divBdr>
        <w:top w:val="none" w:sz="0" w:space="0" w:color="auto"/>
        <w:left w:val="none" w:sz="0" w:space="0" w:color="auto"/>
        <w:bottom w:val="none" w:sz="0" w:space="0" w:color="auto"/>
        <w:right w:val="none" w:sz="0" w:space="0" w:color="auto"/>
      </w:divBdr>
    </w:div>
    <w:div w:id="894580589">
      <w:bodyDiv w:val="1"/>
      <w:marLeft w:val="0"/>
      <w:marRight w:val="0"/>
      <w:marTop w:val="0"/>
      <w:marBottom w:val="0"/>
      <w:divBdr>
        <w:top w:val="none" w:sz="0" w:space="0" w:color="auto"/>
        <w:left w:val="none" w:sz="0" w:space="0" w:color="auto"/>
        <w:bottom w:val="none" w:sz="0" w:space="0" w:color="auto"/>
        <w:right w:val="none" w:sz="0" w:space="0" w:color="auto"/>
      </w:divBdr>
    </w:div>
    <w:div w:id="941492713">
      <w:bodyDiv w:val="1"/>
      <w:marLeft w:val="0"/>
      <w:marRight w:val="0"/>
      <w:marTop w:val="0"/>
      <w:marBottom w:val="0"/>
      <w:divBdr>
        <w:top w:val="none" w:sz="0" w:space="0" w:color="auto"/>
        <w:left w:val="none" w:sz="0" w:space="0" w:color="auto"/>
        <w:bottom w:val="none" w:sz="0" w:space="0" w:color="auto"/>
        <w:right w:val="none" w:sz="0" w:space="0" w:color="auto"/>
      </w:divBdr>
    </w:div>
    <w:div w:id="1006782271">
      <w:bodyDiv w:val="1"/>
      <w:marLeft w:val="0"/>
      <w:marRight w:val="0"/>
      <w:marTop w:val="0"/>
      <w:marBottom w:val="0"/>
      <w:divBdr>
        <w:top w:val="none" w:sz="0" w:space="0" w:color="auto"/>
        <w:left w:val="none" w:sz="0" w:space="0" w:color="auto"/>
        <w:bottom w:val="none" w:sz="0" w:space="0" w:color="auto"/>
        <w:right w:val="none" w:sz="0" w:space="0" w:color="auto"/>
      </w:divBdr>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363508377">
      <w:bodyDiv w:val="1"/>
      <w:marLeft w:val="0"/>
      <w:marRight w:val="0"/>
      <w:marTop w:val="0"/>
      <w:marBottom w:val="0"/>
      <w:divBdr>
        <w:top w:val="none" w:sz="0" w:space="0" w:color="auto"/>
        <w:left w:val="none" w:sz="0" w:space="0" w:color="auto"/>
        <w:bottom w:val="none" w:sz="0" w:space="0" w:color="auto"/>
        <w:right w:val="none" w:sz="0" w:space="0" w:color="auto"/>
      </w:divBdr>
    </w:div>
    <w:div w:id="1396314128">
      <w:bodyDiv w:val="1"/>
      <w:marLeft w:val="0"/>
      <w:marRight w:val="0"/>
      <w:marTop w:val="0"/>
      <w:marBottom w:val="0"/>
      <w:divBdr>
        <w:top w:val="none" w:sz="0" w:space="0" w:color="auto"/>
        <w:left w:val="none" w:sz="0" w:space="0" w:color="auto"/>
        <w:bottom w:val="none" w:sz="0" w:space="0" w:color="auto"/>
        <w:right w:val="none" w:sz="0" w:space="0" w:color="auto"/>
      </w:divBdr>
    </w:div>
    <w:div w:id="1406800547">
      <w:bodyDiv w:val="1"/>
      <w:marLeft w:val="0"/>
      <w:marRight w:val="0"/>
      <w:marTop w:val="0"/>
      <w:marBottom w:val="0"/>
      <w:divBdr>
        <w:top w:val="none" w:sz="0" w:space="0" w:color="auto"/>
        <w:left w:val="none" w:sz="0" w:space="0" w:color="auto"/>
        <w:bottom w:val="none" w:sz="0" w:space="0" w:color="auto"/>
        <w:right w:val="none" w:sz="0" w:space="0" w:color="auto"/>
      </w:divBdr>
    </w:div>
    <w:div w:id="1594050983">
      <w:bodyDiv w:val="1"/>
      <w:marLeft w:val="0"/>
      <w:marRight w:val="0"/>
      <w:marTop w:val="0"/>
      <w:marBottom w:val="0"/>
      <w:divBdr>
        <w:top w:val="none" w:sz="0" w:space="0" w:color="auto"/>
        <w:left w:val="none" w:sz="0" w:space="0" w:color="auto"/>
        <w:bottom w:val="none" w:sz="0" w:space="0" w:color="auto"/>
        <w:right w:val="none" w:sz="0" w:space="0" w:color="auto"/>
      </w:divBdr>
    </w:div>
    <w:div w:id="1761488890">
      <w:bodyDiv w:val="1"/>
      <w:marLeft w:val="0"/>
      <w:marRight w:val="0"/>
      <w:marTop w:val="0"/>
      <w:marBottom w:val="0"/>
      <w:divBdr>
        <w:top w:val="none" w:sz="0" w:space="0" w:color="auto"/>
        <w:left w:val="none" w:sz="0" w:space="0" w:color="auto"/>
        <w:bottom w:val="none" w:sz="0" w:space="0" w:color="auto"/>
        <w:right w:val="none" w:sz="0" w:space="0" w:color="auto"/>
      </w:divBdr>
    </w:div>
    <w:div w:id="1966547777">
      <w:bodyDiv w:val="1"/>
      <w:marLeft w:val="0"/>
      <w:marRight w:val="0"/>
      <w:marTop w:val="0"/>
      <w:marBottom w:val="0"/>
      <w:divBdr>
        <w:top w:val="none" w:sz="0" w:space="0" w:color="auto"/>
        <w:left w:val="none" w:sz="0" w:space="0" w:color="auto"/>
        <w:bottom w:val="none" w:sz="0" w:space="0" w:color="auto"/>
        <w:right w:val="none" w:sz="0" w:space="0" w:color="auto"/>
      </w:divBdr>
    </w:div>
    <w:div w:id="20224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ondi.lv/page.php?id=106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finansu-un-raditaju-plani-to-izpilde" TargetMode="External"/><Relationship Id="rId2" Type="http://schemas.openxmlformats.org/officeDocument/2006/relationships/hyperlink" Target="http://www.esfondi.lv/finansu-un-raditaju-plani-to-izpilde" TargetMode="External"/><Relationship Id="rId1" Type="http://schemas.openxmlformats.org/officeDocument/2006/relationships/hyperlink" Target="http://www.esfondi.lv/zinojumi-Ministru-kabinetam" TargetMode="External"/><Relationship Id="rId4" Type="http://schemas.openxmlformats.org/officeDocument/2006/relationships/hyperlink" Target="http://www.esfondi.lv/kopejie-ek-veiktie-maksajumi-dalibvalsti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s\fud\IEVIE&#352;ANAS%20UZRAUDZ&#298;BA\ZI&#325;OJUMI_MAKS&#256;JUMU%20PROGNOZES%20EK\VI_regularie_zinojumi_MK_ES_fondi\1%20-%20MK\2016.gads\Ikm&#275;ne&#353;a%20informat&#299;vie%20zi&#326;ojumi\12_janvaris_2017_iesn_MK_lidz_31.01.2017\Darba%20materi&#257;li\Grafiks_10.01.201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a:t>Kopā: 4 471,2 (101,2%)</a:t>
            </a:r>
          </a:p>
        </c:rich>
      </c:tx>
      <c:layout>
        <c:manualLayout>
          <c:xMode val="edge"/>
          <c:yMode val="edge"/>
          <c:x val="0.71398654929654903"/>
          <c:y val="1.0156145736020285E-2"/>
        </c:manualLayout>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42076767409248489"/>
          <c:y val="0.11092878240892681"/>
          <c:w val="0.46603698308733399"/>
          <c:h val="0.72736679165514551"/>
        </c:manualLayout>
      </c:layout>
      <c:barChart>
        <c:barDir val="bar"/>
        <c:grouping val="stacked"/>
        <c:varyColors val="0"/>
        <c:ser>
          <c:idx val="0"/>
          <c:order val="0"/>
          <c:tx>
            <c:strRef>
              <c:f>'Sabiedrībai '!$M$3</c:f>
              <c:strCache>
                <c:ptCount val="1"/>
                <c:pt idx="0">
                  <c:v>Pieejamais ES fondu finansējums</c:v>
                </c:pt>
              </c:strCache>
            </c:strRef>
          </c:tx>
          <c:spPr>
            <a:solidFill>
              <a:schemeClr val="accent1"/>
            </a:solidFill>
            <a:ln>
              <a:noFill/>
            </a:ln>
            <a:effectLst/>
          </c:spPr>
          <c:invertIfNegative val="0"/>
          <c:dLbls>
            <c:dLbl>
              <c:idx val="7"/>
              <c:tx>
                <c:rich>
                  <a:bodyPr/>
                  <a:lstStyle/>
                  <a:p>
                    <a:fld id="{21984038-6180-4717-99FC-777F7F5C6774}" type="VALUE">
                      <a:rPr lang="en-US"/>
                      <a:pPr/>
                      <a:t>[VALUE]</a:t>
                    </a:fld>
                    <a:r>
                      <a:rPr lang="en-US"/>
                      <a:t> (100%)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E24-465A-A017-64BCF76DB505}"/>
                </c:ext>
              </c:extLst>
            </c:dLbl>
            <c:numFmt formatCode="#,##0.0" sourceLinked="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'Sabiedrībai '!$D$4:$M$4</c:f>
              <c:numCache>
                <c:formatCode>General</c:formatCode>
                <c:ptCount val="10"/>
              </c:numCache>
            </c:numRef>
          </c:val>
          <c:extLst>
            <c:ext xmlns:c16="http://schemas.microsoft.com/office/drawing/2014/chart" uri="{C3380CC4-5D6E-409C-BE32-E72D297353CC}">
              <c16:uniqueId val="{00000001-5E24-465A-A017-64BCF76DB505}"/>
            </c:ext>
          </c:extLst>
        </c:ser>
        <c:ser>
          <c:idx val="1"/>
          <c:order val="1"/>
          <c:tx>
            <c:strRef>
              <c:f>'Sabiedrībai '!$C$5:$C$9</c:f>
              <c:strCache>
                <c:ptCount val="1"/>
                <c:pt idx="0">
                  <c:v>Mil EUR Esošais mēnesis (31.12)/ % 31.11.2016.</c:v>
                </c:pt>
              </c:strCache>
            </c:strRef>
          </c:tx>
          <c:spPr>
            <a:solidFill>
              <a:schemeClr val="accent2"/>
            </a:solidFill>
            <a:ln>
              <a:noFill/>
            </a:ln>
            <a:effectLst/>
          </c:spPr>
          <c:invertIfNegative val="0"/>
          <c:dPt>
            <c:idx val="0"/>
            <c:invertIfNegative val="0"/>
            <c:bubble3D val="0"/>
            <c:spPr>
              <a:solidFill>
                <a:srgbClr val="FFD966"/>
              </a:solidFill>
              <a:ln>
                <a:noFill/>
              </a:ln>
              <a:effectLst/>
            </c:spPr>
            <c:extLst>
              <c:ext xmlns:c16="http://schemas.microsoft.com/office/drawing/2014/chart" uri="{C3380CC4-5D6E-409C-BE32-E72D297353CC}">
                <c16:uniqueId val="{00000003-5E24-465A-A017-64BCF76DB505}"/>
              </c:ext>
            </c:extLst>
          </c:dPt>
          <c:dPt>
            <c:idx val="1"/>
            <c:invertIfNegative val="0"/>
            <c:bubble3D val="0"/>
            <c:spPr>
              <a:solidFill>
                <a:srgbClr val="C9C9C9"/>
              </a:solidFill>
              <a:ln>
                <a:noFill/>
              </a:ln>
              <a:effectLst/>
            </c:spPr>
            <c:extLst>
              <c:ext xmlns:c16="http://schemas.microsoft.com/office/drawing/2014/chart" uri="{C3380CC4-5D6E-409C-BE32-E72D297353CC}">
                <c16:uniqueId val="{00000005-5E24-465A-A017-64BCF76DB505}"/>
              </c:ext>
            </c:extLst>
          </c:dPt>
          <c:dPt>
            <c:idx val="2"/>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7-5E24-465A-A017-64BCF76DB505}"/>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9-5E24-465A-A017-64BCF76DB505}"/>
              </c:ext>
            </c:extLst>
          </c:dPt>
          <c:dPt>
            <c:idx val="4"/>
            <c:invertIfNegative val="0"/>
            <c:bubble3D val="0"/>
            <c:spPr>
              <a:solidFill>
                <a:srgbClr val="A9D18E"/>
              </a:solidFill>
              <a:ln>
                <a:noFill/>
              </a:ln>
              <a:effectLst/>
            </c:spPr>
            <c:extLst>
              <c:ext xmlns:c16="http://schemas.microsoft.com/office/drawing/2014/chart" uri="{C3380CC4-5D6E-409C-BE32-E72D297353CC}">
                <c16:uniqueId val="{0000000B-5E24-465A-A017-64BCF76DB505}"/>
              </c:ext>
            </c:extLst>
          </c:dPt>
          <c:dPt>
            <c:idx val="5"/>
            <c:invertIfNegative val="0"/>
            <c:bubble3D val="0"/>
            <c:spPr>
              <a:solidFill>
                <a:srgbClr val="FFC000"/>
              </a:solidFill>
              <a:ln>
                <a:noFill/>
              </a:ln>
              <a:effectLst/>
            </c:spPr>
            <c:extLst>
              <c:ext xmlns:c16="http://schemas.microsoft.com/office/drawing/2014/chart" uri="{C3380CC4-5D6E-409C-BE32-E72D297353CC}">
                <c16:uniqueId val="{0000000D-5E24-465A-A017-64BCF76DB505}"/>
              </c:ext>
            </c:extLst>
          </c:dPt>
          <c:dPt>
            <c:idx val="6"/>
            <c:invertIfNegative val="0"/>
            <c:bubble3D val="0"/>
            <c:spPr>
              <a:solidFill>
                <a:srgbClr val="A5A5A5"/>
              </a:solidFill>
              <a:ln>
                <a:noFill/>
              </a:ln>
              <a:effectLst/>
            </c:spPr>
            <c:extLst>
              <c:ext xmlns:c16="http://schemas.microsoft.com/office/drawing/2014/chart" uri="{C3380CC4-5D6E-409C-BE32-E72D297353CC}">
                <c16:uniqueId val="{0000000F-5E24-465A-A017-64BCF76DB505}"/>
              </c:ext>
            </c:extLst>
          </c:dPt>
          <c:dPt>
            <c:idx val="7"/>
            <c:invertIfNegative val="0"/>
            <c:bubble3D val="0"/>
            <c:spPr>
              <a:solidFill>
                <a:srgbClr val="F79646"/>
              </a:solidFill>
              <a:ln>
                <a:noFill/>
              </a:ln>
              <a:effectLst/>
            </c:spPr>
            <c:extLst>
              <c:ext xmlns:c16="http://schemas.microsoft.com/office/drawing/2014/chart" uri="{C3380CC4-5D6E-409C-BE32-E72D297353CC}">
                <c16:uniqueId val="{00000011-5E24-465A-A017-64BCF76DB505}"/>
              </c:ext>
            </c:extLst>
          </c:dPt>
          <c:dPt>
            <c:idx val="8"/>
            <c:invertIfNegative val="0"/>
            <c:bubble3D val="0"/>
            <c:spPr>
              <a:solidFill>
                <a:srgbClr val="9BBB59"/>
              </a:solidFill>
              <a:ln>
                <a:noFill/>
              </a:ln>
              <a:effectLst/>
            </c:spPr>
            <c:extLst>
              <c:ext xmlns:c16="http://schemas.microsoft.com/office/drawing/2014/chart" uri="{C3380CC4-5D6E-409C-BE32-E72D297353CC}">
                <c16:uniqueId val="{00000013-5E24-465A-A017-64BCF76DB505}"/>
              </c:ext>
            </c:extLst>
          </c:dPt>
          <c:dPt>
            <c:idx val="9"/>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15-5E24-465A-A017-64BCF76DB505}"/>
              </c:ext>
            </c:extLst>
          </c:dPt>
          <c:dLbls>
            <c:dLbl>
              <c:idx val="0"/>
              <c:layout>
                <c:manualLayout>
                  <c:x val="0.11187214146743947"/>
                  <c:y val="3.2820458486338697E-3"/>
                </c:manualLayout>
              </c:layout>
              <c:tx>
                <c:rich>
                  <a:bodyPr/>
                  <a:lstStyle/>
                  <a:p>
                    <a:fld id="{489F327E-AEEF-46CE-B86F-88FCE2FAE9F5}" type="VALUE">
                      <a:rPr lang="en-US"/>
                      <a:pPr/>
                      <a:t>[VALUE]</a:t>
                    </a:fld>
                    <a:r>
                      <a:rPr lang="en-US"/>
                      <a:t> (5,5%) </a:t>
                    </a:r>
                    <a:r>
                      <a:rPr lang="en-US">
                        <a:latin typeface="Times New Roman" panose="02020603050405020304" pitchFamily="18" charset="0"/>
                        <a:cs typeface="Times New Roman" panose="02020603050405020304" pitchFamily="18" charset="0"/>
                      </a:rPr>
                      <a:t>↑0,4%</a:t>
                    </a:r>
                  </a:p>
                </c:rich>
              </c:tx>
              <c:showLegendKey val="0"/>
              <c:showVal val="1"/>
              <c:showCatName val="0"/>
              <c:showSerName val="0"/>
              <c:showPercent val="0"/>
              <c:showBubbleSize val="0"/>
              <c:extLst>
                <c:ext xmlns:c15="http://schemas.microsoft.com/office/drawing/2012/chart" uri="{CE6537A1-D6FC-4f65-9D91-7224C49458BB}">
                  <c15:layout>
                    <c:manualLayout>
                      <c:w val="0.31424096729176643"/>
                      <c:h val="6.6590088611749254E-2"/>
                    </c:manualLayout>
                  </c15:layout>
                  <c15:dlblFieldTable/>
                  <c15:showDataLabelsRange val="0"/>
                </c:ext>
                <c:ext xmlns:c16="http://schemas.microsoft.com/office/drawing/2014/chart" uri="{C3380CC4-5D6E-409C-BE32-E72D297353CC}">
                  <c16:uniqueId val="{00000003-5E24-465A-A017-64BCF76DB505}"/>
                </c:ext>
              </c:extLst>
            </c:dLbl>
            <c:dLbl>
              <c:idx val="1"/>
              <c:layout>
                <c:manualLayout>
                  <c:x val="0.17262429841806637"/>
                  <c:y val="1.6410875289751892E-3"/>
                </c:manualLayout>
              </c:layout>
              <c:tx>
                <c:rich>
                  <a:bodyPr/>
                  <a:lstStyle/>
                  <a:p>
                    <a:fld id="{5FA50F4E-52FE-4052-AA61-C6665E5C0E21}" type="VALUE">
                      <a:rPr lang="en-US"/>
                      <a:pPr/>
                      <a:t>[VALUE]</a:t>
                    </a:fld>
                    <a:r>
                      <a:rPr lang="en-US"/>
                      <a:t> (31,1%) </a:t>
                    </a:r>
                    <a:r>
                      <a:rPr lang="en-US">
                        <a:latin typeface="Times New Roman" panose="02020603050405020304" pitchFamily="18" charset="0"/>
                        <a:cs typeface="Times New Roman" panose="02020603050405020304" pitchFamily="18" charset="0"/>
                      </a:rPr>
                      <a:t>↑3,5%</a:t>
                    </a:r>
                  </a:p>
                </c:rich>
              </c:tx>
              <c:showLegendKey val="0"/>
              <c:showVal val="1"/>
              <c:showCatName val="0"/>
              <c:showSerName val="0"/>
              <c:showPercent val="0"/>
              <c:showBubbleSize val="0"/>
              <c:extLst>
                <c:ext xmlns:c15="http://schemas.microsoft.com/office/drawing/2012/chart" uri="{CE6537A1-D6FC-4f65-9D91-7224C49458BB}">
                  <c15:layout>
                    <c:manualLayout>
                      <c:w val="0.31801431515756529"/>
                      <c:h val="6.3308171972431895E-2"/>
                    </c:manualLayout>
                  </c15:layout>
                  <c15:dlblFieldTable/>
                  <c15:showDataLabelsRange val="0"/>
                </c:ext>
                <c:ext xmlns:c16="http://schemas.microsoft.com/office/drawing/2014/chart" uri="{C3380CC4-5D6E-409C-BE32-E72D297353CC}">
                  <c16:uniqueId val="{00000005-5E24-465A-A017-64BCF76DB505}"/>
                </c:ext>
              </c:extLst>
            </c:dLbl>
            <c:dLbl>
              <c:idx val="2"/>
              <c:layout>
                <c:manualLayout>
                  <c:x val="0.16953580996424605"/>
                  <c:y val="-1.4592900206477691E-3"/>
                </c:manualLayout>
              </c:layout>
              <c:tx>
                <c:rich>
                  <a:bodyPr/>
                  <a:lstStyle/>
                  <a:p>
                    <a:fld id="{5C685BE9-56FF-4DE9-BE00-C617ED8DBE3A}" type="VALUE">
                      <a:rPr lang="en-US"/>
                      <a:pPr/>
                      <a:t>[VALUE]</a:t>
                    </a:fld>
                    <a:r>
                      <a:rPr lang="en-US" baseline="0"/>
                      <a:t> (32,0%) </a:t>
                    </a:r>
                    <a:r>
                      <a:rPr lang="en-US" baseline="0">
                        <a:latin typeface="Times New Roman" panose="02020603050405020304" pitchFamily="18" charset="0"/>
                        <a:cs typeface="Times New Roman" panose="02020603050405020304" pitchFamily="18" charset="0"/>
                      </a:rPr>
                      <a:t>↑2,8%</a:t>
                    </a:r>
                  </a:p>
                </c:rich>
              </c:tx>
              <c:showLegendKey val="0"/>
              <c:showVal val="1"/>
              <c:showCatName val="0"/>
              <c:showSerName val="0"/>
              <c:showPercent val="0"/>
              <c:showBubbleSize val="0"/>
              <c:extLst>
                <c:ext xmlns:c15="http://schemas.microsoft.com/office/drawing/2012/chart" uri="{CE6537A1-D6FC-4f65-9D91-7224C49458BB}">
                  <c15:layout>
                    <c:manualLayout>
                      <c:w val="0.38916567350167902"/>
                      <c:h val="9.2845421726288152E-2"/>
                    </c:manualLayout>
                  </c15:layout>
                  <c15:dlblFieldTable/>
                  <c15:showDataLabelsRange val="0"/>
                </c:ext>
                <c:ext xmlns:c16="http://schemas.microsoft.com/office/drawing/2014/chart" uri="{C3380CC4-5D6E-409C-BE32-E72D297353CC}">
                  <c16:uniqueId val="{00000007-5E24-465A-A017-64BCF76DB505}"/>
                </c:ext>
              </c:extLst>
            </c:dLbl>
            <c:dLbl>
              <c:idx val="3"/>
              <c:layout>
                <c:manualLayout>
                  <c:x val="0.22910819823914702"/>
                  <c:y val="-4.5017454772786347E-3"/>
                </c:manualLayout>
              </c:layout>
              <c:tx>
                <c:rich>
                  <a:bodyPr/>
                  <a:lstStyle/>
                  <a:p>
                    <a:fld id="{3A7F3F90-B631-4989-9B3D-A825AC04F2D3}" type="VALUE">
                      <a:rPr lang="en-US"/>
                      <a:pPr/>
                      <a:t>[VALUE]</a:t>
                    </a:fld>
                    <a:r>
                      <a:rPr lang="en-US"/>
                      <a:t> (8,3% no iesniegtajiem projektiem)</a:t>
                    </a:r>
                  </a:p>
                </c:rich>
              </c:tx>
              <c:showLegendKey val="0"/>
              <c:showVal val="1"/>
              <c:showCatName val="0"/>
              <c:showSerName val="0"/>
              <c:showPercent val="0"/>
              <c:showBubbleSize val="0"/>
              <c:extLst>
                <c:ext xmlns:c15="http://schemas.microsoft.com/office/drawing/2012/chart" uri="{CE6537A1-D6FC-4f65-9D91-7224C49458BB}">
                  <c15:layout>
                    <c:manualLayout>
                      <c:w val="0.44038446520187563"/>
                      <c:h val="5.3564238995888552E-2"/>
                    </c:manualLayout>
                  </c15:layout>
                  <c15:dlblFieldTable/>
                  <c15:showDataLabelsRange val="0"/>
                </c:ext>
                <c:ext xmlns:c16="http://schemas.microsoft.com/office/drawing/2014/chart" uri="{C3380CC4-5D6E-409C-BE32-E72D297353CC}">
                  <c16:uniqueId val="{00000009-5E24-465A-A017-64BCF76DB505}"/>
                </c:ext>
              </c:extLst>
            </c:dLbl>
            <c:dLbl>
              <c:idx val="4"/>
              <c:layout>
                <c:manualLayout>
                  <c:x val="0.19352931789089098"/>
                  <c:y val="-4.0217691856454223E-3"/>
                </c:manualLayout>
              </c:layout>
              <c:tx>
                <c:rich>
                  <a:bodyPr/>
                  <a:lstStyle/>
                  <a:p>
                    <a:fld id="{24243CAE-B4D2-401D-B9BA-E772618E40DC}" type="VALUE">
                      <a:rPr lang="en-US"/>
                      <a:pPr/>
                      <a:t>[VALUE]</a:t>
                    </a:fld>
                    <a:r>
                      <a:rPr lang="en-US"/>
                      <a:t> (47,3%) </a:t>
                    </a:r>
                    <a:r>
                      <a:rPr lang="en-US">
                        <a:latin typeface="Times New Roman" panose="02020603050405020304" pitchFamily="18" charset="0"/>
                        <a:cs typeface="Times New Roman" panose="02020603050405020304" pitchFamily="18" charset="0"/>
                      </a:rPr>
                      <a:t>↑6,7%</a:t>
                    </a:r>
                  </a:p>
                </c:rich>
              </c:tx>
              <c:showLegendKey val="0"/>
              <c:showVal val="1"/>
              <c:showCatName val="0"/>
              <c:showSerName val="0"/>
              <c:showPercent val="0"/>
              <c:showBubbleSize val="0"/>
              <c:extLst>
                <c:ext xmlns:c15="http://schemas.microsoft.com/office/drawing/2012/chart" uri="{CE6537A1-D6FC-4f65-9D91-7224C49458BB}">
                  <c15:layout>
                    <c:manualLayout>
                      <c:w val="0.31801431515756529"/>
                      <c:h val="9.2845421726288152E-2"/>
                    </c:manualLayout>
                  </c15:layout>
                  <c15:dlblFieldTable/>
                  <c15:showDataLabelsRange val="0"/>
                </c:ext>
                <c:ext xmlns:c16="http://schemas.microsoft.com/office/drawing/2014/chart" uri="{C3380CC4-5D6E-409C-BE32-E72D297353CC}">
                  <c16:uniqueId val="{0000000B-5E24-465A-A017-64BCF76DB505}"/>
                </c:ext>
              </c:extLst>
            </c:dLbl>
            <c:dLbl>
              <c:idx val="5"/>
              <c:layout>
                <c:manualLayout>
                  <c:x val="0.22973001191797984"/>
                  <c:y val="-6.5638332786347228E-3"/>
                </c:manualLayout>
              </c:layout>
              <c:tx>
                <c:rich>
                  <a:bodyPr/>
                  <a:lstStyle/>
                  <a:p>
                    <a:fld id="{FB32D4EF-3BF3-4D25-8786-5FA103E5C866}" type="VALUE">
                      <a:rPr lang="en-US"/>
                      <a:pPr/>
                      <a:t>[VALUE]</a:t>
                    </a:fld>
                    <a:r>
                      <a:rPr lang="en-US"/>
                      <a:t> (69,6%) </a:t>
                    </a:r>
                    <a:r>
                      <a:rPr lang="en-US">
                        <a:latin typeface="Times New Roman" panose="02020603050405020304" pitchFamily="18" charset="0"/>
                        <a:cs typeface="Times New Roman" panose="02020603050405020304" pitchFamily="18" charset="0"/>
                      </a:rPr>
                      <a:t>↑1,4%</a:t>
                    </a:r>
                  </a:p>
                </c:rich>
              </c:tx>
              <c:showLegendKey val="0"/>
              <c:showVal val="1"/>
              <c:showCatName val="0"/>
              <c:showSerName val="0"/>
              <c:showPercent val="0"/>
              <c:showBubbleSize val="0"/>
              <c:extLst>
                <c:ext xmlns:c15="http://schemas.microsoft.com/office/drawing/2012/chart" uri="{CE6537A1-D6FC-4f65-9D91-7224C49458BB}">
                  <c15:layout>
                    <c:manualLayout>
                      <c:w val="0.25762411166909438"/>
                      <c:h val="9.2845421726288152E-2"/>
                    </c:manualLayout>
                  </c15:layout>
                  <c15:dlblFieldTable/>
                  <c15:showDataLabelsRange val="0"/>
                </c:ext>
                <c:ext xmlns:c16="http://schemas.microsoft.com/office/drawing/2014/chart" uri="{C3380CC4-5D6E-409C-BE32-E72D297353CC}">
                  <c16:uniqueId val="{0000000D-5E24-465A-A017-64BCF76DB505}"/>
                </c:ext>
              </c:extLst>
            </c:dLbl>
            <c:dLbl>
              <c:idx val="6"/>
              <c:layout>
                <c:manualLayout>
                  <c:x val="0.26072754004067733"/>
                  <c:y val="-2.5666138631259866E-3"/>
                </c:manualLayout>
              </c:layout>
              <c:tx>
                <c:rich>
                  <a:bodyPr/>
                  <a:lstStyle/>
                  <a:p>
                    <a:fld id="{B434583B-C039-486E-A272-E8B566240919}" type="VALUE">
                      <a:rPr lang="en-US"/>
                      <a:pPr/>
                      <a:t>[VALUE]</a:t>
                    </a:fld>
                    <a:r>
                      <a:rPr lang="en-US"/>
                      <a:t> (84,7%) </a:t>
                    </a:r>
                    <a:r>
                      <a:rPr lang="en-US">
                        <a:latin typeface="Times New Roman" panose="02020603050405020304" pitchFamily="18" charset="0"/>
                        <a:cs typeface="Times New Roman" panose="02020603050405020304" pitchFamily="18" charset="0"/>
                      </a:rPr>
                      <a:t>↑4,0%</a:t>
                    </a:r>
                  </a:p>
                </c:rich>
              </c:tx>
              <c:showLegendKey val="0"/>
              <c:showVal val="1"/>
              <c:showCatName val="0"/>
              <c:showSerName val="0"/>
              <c:showPercent val="0"/>
              <c:showBubbleSize val="0"/>
              <c:extLst>
                <c:ext xmlns:c15="http://schemas.microsoft.com/office/drawing/2012/chart" uri="{CE6537A1-D6FC-4f65-9D91-7224C49458BB}">
                  <c15:layout>
                    <c:manualLayout>
                      <c:w val="0.28136058510150658"/>
                      <c:h val="9.2845421726288152E-2"/>
                    </c:manualLayout>
                  </c15:layout>
                  <c15:dlblFieldTable/>
                  <c15:showDataLabelsRange val="0"/>
                </c:ext>
                <c:ext xmlns:c16="http://schemas.microsoft.com/office/drawing/2014/chart" uri="{C3380CC4-5D6E-409C-BE32-E72D297353CC}">
                  <c16:uniqueId val="{0000000F-5E24-465A-A017-64BCF76DB505}"/>
                </c:ext>
              </c:extLst>
            </c:dLbl>
            <c:dLbl>
              <c:idx val="7"/>
              <c:layout>
                <c:manualLayout>
                  <c:x val="0.28516160576952443"/>
                  <c:y val="-2.566613863126017E-3"/>
                </c:manualLayout>
              </c:layout>
              <c:tx>
                <c:rich>
                  <a:bodyPr/>
                  <a:lstStyle/>
                  <a:p>
                    <a:fld id="{40ABC9B8-FF40-4B67-AF4E-81083BD3D975}" type="VALUE">
                      <a:rPr lang="en-US"/>
                      <a:pPr/>
                      <a:t>[VALUE]</a:t>
                    </a:fld>
                    <a:r>
                      <a:rPr lang="en-US"/>
                      <a:t> (94,1%) </a:t>
                    </a:r>
                    <a:r>
                      <a:rPr lang="en-US">
                        <a:latin typeface="Times New Roman" panose="02020603050405020304" pitchFamily="18" charset="0"/>
                        <a:cs typeface="Times New Roman" panose="02020603050405020304" pitchFamily="18" charset="0"/>
                      </a:rPr>
                      <a:t>↓ -0,7%*</a:t>
                    </a:r>
                  </a:p>
                </c:rich>
              </c:tx>
              <c:showLegendKey val="0"/>
              <c:showVal val="1"/>
              <c:showCatName val="0"/>
              <c:showSerName val="0"/>
              <c:showPercent val="0"/>
              <c:showBubbleSize val="0"/>
              <c:extLst>
                <c:ext xmlns:c15="http://schemas.microsoft.com/office/drawing/2012/chart" uri="{CE6537A1-D6FC-4f65-9D91-7224C49458BB}">
                  <c15:layout>
                    <c:manualLayout>
                      <c:w val="0.26338939197930145"/>
                      <c:h val="9.2845421726288152E-2"/>
                    </c:manualLayout>
                  </c15:layout>
                  <c15:dlblFieldTable/>
                  <c15:showDataLabelsRange val="0"/>
                </c:ext>
                <c:ext xmlns:c16="http://schemas.microsoft.com/office/drawing/2014/chart" uri="{C3380CC4-5D6E-409C-BE32-E72D297353CC}">
                  <c16:uniqueId val="{00000011-5E24-465A-A017-64BCF76DB505}"/>
                </c:ext>
              </c:extLst>
            </c:dLbl>
            <c:dLbl>
              <c:idx val="8"/>
              <c:layout>
                <c:manualLayout>
                  <c:x val="0.28056851480240247"/>
                  <c:y val="-7.5241169189263222E-3"/>
                </c:manualLayout>
              </c:layout>
              <c:tx>
                <c:rich>
                  <a:bodyPr/>
                  <a:lstStyle/>
                  <a:p>
                    <a:fld id="{872381E1-255C-4F6E-92F7-7D7A216B19D9}" type="VALUE">
                      <a:rPr lang="en-US"/>
                      <a:pPr/>
                      <a:t>[VALUE]</a:t>
                    </a:fld>
                    <a:r>
                      <a:rPr lang="en-US"/>
                      <a:t> (95,9%) ↑0,0%</a:t>
                    </a:r>
                  </a:p>
                </c:rich>
              </c:tx>
              <c:showLegendKey val="0"/>
              <c:showVal val="1"/>
              <c:showCatName val="0"/>
              <c:showSerName val="0"/>
              <c:showPercent val="0"/>
              <c:showBubbleSize val="0"/>
              <c:extLst>
                <c:ext xmlns:c15="http://schemas.microsoft.com/office/drawing/2012/chart" uri="{CE6537A1-D6FC-4f65-9D91-7224C49458BB}">
                  <c15:layout>
                    <c:manualLayout>
                      <c:w val="0.24692135831015943"/>
                      <c:h val="9.2845421726288152E-2"/>
                    </c:manualLayout>
                  </c15:layout>
                  <c15:dlblFieldTable/>
                  <c15:showDataLabelsRange val="0"/>
                </c:ext>
                <c:ext xmlns:c16="http://schemas.microsoft.com/office/drawing/2014/chart" uri="{C3380CC4-5D6E-409C-BE32-E72D297353CC}">
                  <c16:uniqueId val="{00000013-5E24-465A-A017-64BCF76DB505}"/>
                </c:ext>
              </c:extLst>
            </c:dLbl>
            <c:dLbl>
              <c:idx val="9"/>
              <c:layout>
                <c:manualLayout>
                  <c:x val="-1.2936610608020777E-2"/>
                  <c:y val="-4.9228749589760423E-2"/>
                </c:manualLayout>
              </c:layout>
              <c:tx>
                <c:rich>
                  <a:bodyPr/>
                  <a:lstStyle/>
                  <a:p>
                    <a:fld id="{1DBBE3E3-6395-4E39-A2E7-CD57422C3C25}" type="VALUE">
                      <a:rPr lang="en-US"/>
                      <a:pPr/>
                      <a:t>[VALUE]</a:t>
                    </a:fld>
                    <a:r>
                      <a:rPr lang="en-US"/>
                      <a:t> (100%)</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5-5E24-465A-A017-64BCF76DB505}"/>
                </c:ext>
              </c:extLst>
            </c:dLbl>
            <c:numFmt formatCode="#,##0.0" sourceLinked="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'Sabiedrībai '!$D$5:$M$5</c:f>
              <c:numCache>
                <c:formatCode>#,##0</c:formatCode>
                <c:ptCount val="10"/>
                <c:pt idx="0">
                  <c:v>241413144</c:v>
                </c:pt>
                <c:pt idx="1">
                  <c:v>1373661477.8299999</c:v>
                </c:pt>
                <c:pt idx="2">
                  <c:v>1415951102.77</c:v>
                </c:pt>
                <c:pt idx="3">
                  <c:v>172864817.83000001</c:v>
                </c:pt>
                <c:pt idx="4">
                  <c:v>2090979478.79</c:v>
                </c:pt>
                <c:pt idx="5">
                  <c:v>3073235334</c:v>
                </c:pt>
                <c:pt idx="6">
                  <c:v>3744173946</c:v>
                </c:pt>
                <c:pt idx="7">
                  <c:v>4159567215</c:v>
                </c:pt>
                <c:pt idx="8">
                  <c:v>4236885068</c:v>
                </c:pt>
                <c:pt idx="9">
                  <c:v>4418233214</c:v>
                </c:pt>
              </c:numCache>
            </c:numRef>
          </c:val>
          <c:extLst>
            <c:ext xmlns:c16="http://schemas.microsoft.com/office/drawing/2014/chart" uri="{C3380CC4-5D6E-409C-BE32-E72D297353CC}">
              <c16:uniqueId val="{00000016-5E24-465A-A017-64BCF76DB505}"/>
            </c:ext>
          </c:extLst>
        </c:ser>
        <c:ser>
          <c:idx val="2"/>
          <c:order val="2"/>
          <c:tx>
            <c:strRef>
              <c:f>'Sabiedrībai '!$N$3</c:f>
              <c:strCache>
                <c:ptCount val="1"/>
                <c:pt idx="0">
                  <c:v>Pieejamais ''virssaistību'' apjoms</c:v>
                </c:pt>
              </c:strCache>
            </c:strRef>
          </c:tx>
          <c:spPr>
            <a:solidFill>
              <a:srgbClr val="FF0000"/>
            </a:solidFill>
            <a:ln>
              <a:noFill/>
            </a:ln>
            <a:effectLst/>
          </c:spPr>
          <c:invertIfNegative val="0"/>
          <c:dLbls>
            <c:dLbl>
              <c:idx val="7"/>
              <c:layout>
                <c:manualLayout>
                  <c:x val="5.2511415525114152E-2"/>
                  <c:y val="0"/>
                </c:manualLayout>
              </c:layout>
              <c:tx>
                <c:rich>
                  <a:bodyPr/>
                  <a:lstStyle/>
                  <a:p>
                    <a:fld id="{B96E0241-0EDD-4867-9595-D7F9D488EC81}" type="VALUE">
                      <a:rPr lang="en-US">
                        <a:solidFill>
                          <a:schemeClr val="tx1">
                            <a:lumMod val="95000"/>
                            <a:lumOff val="5000"/>
                          </a:schemeClr>
                        </a:solidFill>
                        <a:latin typeface="Times New Roman" panose="02020603050405020304" pitchFamily="18" charset="0"/>
                        <a:cs typeface="Times New Roman" panose="02020603050405020304" pitchFamily="18" charset="0"/>
                      </a:rPr>
                      <a:pPr/>
                      <a:t>[VALUE]</a:t>
                    </a:fld>
                    <a:r>
                      <a:rPr lang="en-US">
                        <a:solidFill>
                          <a:schemeClr val="tx1">
                            <a:lumMod val="95000"/>
                            <a:lumOff val="5000"/>
                          </a:schemeClr>
                        </a:solidFill>
                        <a:latin typeface="Times New Roman" panose="02020603050405020304" pitchFamily="18" charset="0"/>
                        <a:cs typeface="Times New Roman" panose="02020603050405020304" pitchFamily="18" charset="0"/>
                      </a:rPr>
                      <a:t> (1,2%)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5E24-465A-A017-64BCF76DB505}"/>
                </c:ext>
              </c:extLst>
            </c:dLbl>
            <c:dLbl>
              <c:idx val="8"/>
              <c:layout>
                <c:manualLayout>
                  <c:x val="5.0139069478760907E-2"/>
                  <c:y val="4.8795341005472186E-3"/>
                </c:manualLayout>
              </c:layout>
              <c:tx>
                <c:rich>
                  <a:bodyPr/>
                  <a:lstStyle/>
                  <a:p>
                    <a:fld id="{B060E773-9110-48CD-8C3E-82AF6EBFF400}" type="VALUE">
                      <a:rPr lang="en-US"/>
                      <a:pPr/>
                      <a:t>[VALUE]</a:t>
                    </a:fld>
                    <a:r>
                      <a:rPr lang="en-US"/>
                      <a:t> (1,2%)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5E24-465A-A017-64BCF76DB505}"/>
                </c:ext>
              </c:extLst>
            </c:dLbl>
            <c:dLbl>
              <c:idx val="9"/>
              <c:layout>
                <c:manualLayout>
                  <c:x val="6.5821033366947987E-2"/>
                  <c:y val="-3.2819166393173614E-3"/>
                </c:manualLayout>
              </c:layout>
              <c:tx>
                <c:rich>
                  <a:bodyPr/>
                  <a:lstStyle/>
                  <a:p>
                    <a:fld id="{2A33641C-09A9-41A5-88F1-67B7E35E633C}" type="VALUE">
                      <a:rPr lang="en-US"/>
                      <a:pPr/>
                      <a:t>[VALUE]</a:t>
                    </a:fld>
                    <a:r>
                      <a:rPr lang="en-US"/>
                      <a:t> (1,2%)</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9-5E24-465A-A017-64BCF76DB505}"/>
                </c:ext>
              </c:extLst>
            </c:dLbl>
            <c:numFmt formatCode="#,##0.0" sourceLinked="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'Sabiedrībai '!$D$6:$M$6</c:f>
              <c:numCache>
                <c:formatCode>General</c:formatCode>
                <c:ptCount val="10"/>
                <c:pt idx="9" formatCode="#,##0">
                  <c:v>53000000</c:v>
                </c:pt>
              </c:numCache>
            </c:numRef>
          </c:val>
          <c:extLst>
            <c:ext xmlns:c16="http://schemas.microsoft.com/office/drawing/2014/chart" uri="{C3380CC4-5D6E-409C-BE32-E72D297353CC}">
              <c16:uniqueId val="{0000001A-5E24-465A-A017-64BCF76DB505}"/>
            </c:ext>
          </c:extLst>
        </c:ser>
        <c:ser>
          <c:idx val="3"/>
          <c:order val="3"/>
          <c:tx>
            <c:strRef>
              <c:f>'Ikmēneša ziņojumam - lielais gr'!#REF!</c:f>
              <c:strCache>
                <c:ptCount val="1"/>
                <c:pt idx="0">
                  <c:v>#REF!</c:v>
                </c:pt>
              </c:strCache>
            </c:strRef>
          </c:tx>
          <c:spPr>
            <a:solidFill>
              <a:schemeClr val="accent4"/>
            </a:solidFill>
            <a:ln>
              <a:noFill/>
            </a:ln>
            <a:effectLst/>
          </c:spPr>
          <c:invertIfNegative val="0"/>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'Ikmēneša ziņojumam - lielais gr'!#REF!</c:f>
              <c:numCache>
                <c:formatCode>General</c:formatCode>
                <c:ptCount val="1"/>
                <c:pt idx="0">
                  <c:v>1</c:v>
                </c:pt>
              </c:numCache>
            </c:numRef>
          </c:val>
          <c:extLst>
            <c:ext xmlns:c16="http://schemas.microsoft.com/office/drawing/2014/chart" uri="{C3380CC4-5D6E-409C-BE32-E72D297353CC}">
              <c16:uniqueId val="{0000001B-5E24-465A-A017-64BCF76DB505}"/>
            </c:ext>
          </c:extLst>
        </c:ser>
        <c:ser>
          <c:idx val="4"/>
          <c:order val="4"/>
          <c:tx>
            <c:strRef>
              <c:f>'Sabiedrībai '!$C$7</c:f>
              <c:strCache>
                <c:ptCount val="1"/>
                <c:pt idx="0">
                  <c:v>Esošais mēnesis (31.12)/ %</c:v>
                </c:pt>
              </c:strCache>
            </c:strRef>
          </c:tx>
          <c:spPr>
            <a:solidFill>
              <a:schemeClr val="accent5"/>
            </a:solidFill>
            <a:ln>
              <a:noFill/>
            </a:ln>
            <a:effectLst/>
          </c:spPr>
          <c:invertIfNegative val="0"/>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'Sabiedrībai '!$D$7:$M$7</c:f>
              <c:numCache>
                <c:formatCode>0.0%</c:formatCode>
                <c:ptCount val="10"/>
                <c:pt idx="0">
                  <c:v>5.4640199443306253E-2</c:v>
                </c:pt>
                <c:pt idx="1">
                  <c:v>0.31090741735345617</c:v>
                </c:pt>
                <c:pt idx="2">
                  <c:v>0.32047903181826021</c:v>
                </c:pt>
                <c:pt idx="3">
                  <c:v>8.2671695051752855E-2</c:v>
                </c:pt>
                <c:pt idx="4">
                  <c:v>0.47326145486488574</c:v>
                </c:pt>
                <c:pt idx="5">
                  <c:v>0.69558015277733143</c:v>
                </c:pt>
                <c:pt idx="6">
                  <c:v>0.84743691983842839</c:v>
                </c:pt>
                <c:pt idx="7">
                  <c:v>0.94145487880079115</c:v>
                </c:pt>
                <c:pt idx="8">
                  <c:v>0.95895460080618555</c:v>
                </c:pt>
              </c:numCache>
            </c:numRef>
          </c:val>
          <c:extLst>
            <c:ext xmlns:c16="http://schemas.microsoft.com/office/drawing/2014/chart" uri="{C3380CC4-5D6E-409C-BE32-E72D297353CC}">
              <c16:uniqueId val="{0000001C-5E24-465A-A017-64BCF76DB505}"/>
            </c:ext>
          </c:extLst>
        </c:ser>
        <c:ser>
          <c:idx val="5"/>
          <c:order val="5"/>
          <c:tx>
            <c:strRef>
              <c:f>'Sabiedrībai '!$C$8</c:f>
              <c:strCache>
                <c:ptCount val="1"/>
              </c:strCache>
            </c:strRef>
          </c:tx>
          <c:spPr>
            <a:solidFill>
              <a:schemeClr val="accent6"/>
            </a:solidFill>
            <a:ln>
              <a:noFill/>
            </a:ln>
            <a:effectLst/>
          </c:spPr>
          <c:invertIfNegative val="0"/>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'Sabiedrībai '!$D$8:$M$8</c:f>
              <c:numCache>
                <c:formatCode>General</c:formatCode>
                <c:ptCount val="10"/>
              </c:numCache>
            </c:numRef>
          </c:val>
          <c:extLst>
            <c:ext xmlns:c16="http://schemas.microsoft.com/office/drawing/2014/chart" uri="{C3380CC4-5D6E-409C-BE32-E72D297353CC}">
              <c16:uniqueId val="{0000001D-5E24-465A-A017-64BCF76DB505}"/>
            </c:ext>
          </c:extLst>
        </c:ser>
        <c:ser>
          <c:idx val="6"/>
          <c:order val="6"/>
          <c:tx>
            <c:strRef>
              <c:f>'Sabiedrībai '!$C$9</c:f>
              <c:strCache>
                <c:ptCount val="1"/>
                <c:pt idx="0">
                  <c:v>31.11.2016.</c:v>
                </c:pt>
              </c:strCache>
            </c:strRef>
          </c:tx>
          <c:spPr>
            <a:solidFill>
              <a:schemeClr val="accent1">
                <a:lumMod val="60000"/>
              </a:schemeClr>
            </a:solidFill>
            <a:ln>
              <a:noFill/>
            </a:ln>
            <a:effectLst/>
          </c:spPr>
          <c:invertIfNegative val="0"/>
          <c:cat>
            <c:strRef>
              <c:f>'Sabiedrībai '!$D$3:$N$3</c:f>
              <c:strCache>
                <c:ptCount val="11"/>
                <c:pt idx="0">
                  <c:v>Veikti maksājumi projektos</c:v>
                </c:pt>
                <c:pt idx="1">
                  <c:v>Noslēgti līgumi, skaits - 178</c:v>
                </c:pt>
                <c:pt idx="2">
                  <c:v>Apstiprināti projekti, skaits - 216</c:v>
                </c:pt>
                <c:pt idx="3">
                  <c:v>Noraidīti/atsaukti projekti, skaits - 307</c:v>
                </c:pt>
                <c:pt idx="4">
                  <c:v>Iesniegti projekti, skaits - 823</c:v>
                </c:pt>
                <c:pt idx="5">
                  <c:v>MKN uzsākta projektu atlase, skaits - 97</c:v>
                </c:pt>
                <c:pt idx="6">
                  <c:v>Apstiprināti MKN, skaits - 98</c:v>
                </c:pt>
                <c:pt idx="7">
                  <c:v>MKN VSS, skaits - 102</c:v>
                </c:pt>
                <c:pt idx="8">
                  <c:v>Iesniegti kritēriji, skaits - 105</c:v>
                </c:pt>
                <c:pt idx="9">
                  <c:v>Pieejamais ES fondu finansējums</c:v>
                </c:pt>
                <c:pt idx="10">
                  <c:v>Pieejamais ''virssaistību'' apjoms</c:v>
                </c:pt>
              </c:strCache>
            </c:strRef>
          </c:cat>
          <c:val>
            <c:numRef>
              <c:f>'Sabiedrībai '!$D$9:$M$9</c:f>
              <c:numCache>
                <c:formatCode>0.0%</c:formatCode>
                <c:ptCount val="10"/>
                <c:pt idx="0">
                  <c:v>5.0331057694140091E-2</c:v>
                </c:pt>
                <c:pt idx="1">
                  <c:v>0.27551366763139817</c:v>
                </c:pt>
                <c:pt idx="2">
                  <c:v>0.29254497748882302</c:v>
                </c:pt>
                <c:pt idx="4">
                  <c:v>0.40669347945379869</c:v>
                </c:pt>
                <c:pt idx="5">
                  <c:v>0.68160316808482535</c:v>
                </c:pt>
                <c:pt idx="6">
                  <c:v>0.80718531758337375</c:v>
                </c:pt>
                <c:pt idx="7">
                  <c:v>0.94861641927804308</c:v>
                </c:pt>
                <c:pt idx="8">
                  <c:v>0.9588421635544746</c:v>
                </c:pt>
              </c:numCache>
            </c:numRef>
          </c:val>
          <c:extLst>
            <c:ext xmlns:c16="http://schemas.microsoft.com/office/drawing/2014/chart" uri="{C3380CC4-5D6E-409C-BE32-E72D297353CC}">
              <c16:uniqueId val="{0000001E-5E24-465A-A017-64BCF76DB505}"/>
            </c:ext>
          </c:extLst>
        </c:ser>
        <c:dLbls>
          <c:showLegendKey val="0"/>
          <c:showVal val="0"/>
          <c:showCatName val="0"/>
          <c:showSerName val="0"/>
          <c:showPercent val="0"/>
          <c:showBubbleSize val="0"/>
        </c:dLbls>
        <c:gapWidth val="150"/>
        <c:overlap val="100"/>
        <c:axId val="249356472"/>
        <c:axId val="249360952"/>
      </c:barChart>
      <c:catAx>
        <c:axId val="249356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49360952"/>
        <c:crosses val="autoZero"/>
        <c:auto val="1"/>
        <c:lblAlgn val="ctr"/>
        <c:lblOffset val="100"/>
        <c:noMultiLvlLbl val="0"/>
      </c:catAx>
      <c:valAx>
        <c:axId val="249360952"/>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49356472"/>
        <c:crosses val="autoZero"/>
        <c:crossBetween val="between"/>
        <c:majorUnit val="2000000000"/>
        <c:dispUnits>
          <c:builtInUnit val="millions"/>
        </c:dispUnits>
      </c:valAx>
      <c:spPr>
        <a:noFill/>
        <a:ln>
          <a:noFill/>
        </a:ln>
        <a:effectLst/>
      </c:spPr>
    </c:plotArea>
    <c:legend>
      <c:legendPos val="b"/>
      <c:legendEntry>
        <c:idx val="1"/>
        <c:delete val="1"/>
      </c:legendEntry>
      <c:legendEntry>
        <c:idx val="3"/>
        <c:delete val="1"/>
      </c:legendEntry>
      <c:legendEntry>
        <c:idx val="4"/>
        <c:delete val="1"/>
      </c:legendEntry>
      <c:legendEntry>
        <c:idx val="5"/>
        <c:delete val="1"/>
      </c:legendEntry>
      <c:legendEntry>
        <c:idx val="6"/>
        <c:delete val="1"/>
      </c:legendEntry>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872998907982536E-2"/>
          <c:y val="2.7715174504420143E-2"/>
          <c:w val="0.91103661763574639"/>
          <c:h val="0.75699208024505227"/>
        </c:manualLayout>
      </c:layout>
      <c:barChart>
        <c:barDir val="col"/>
        <c:grouping val="clustered"/>
        <c:varyColors val="0"/>
        <c:ser>
          <c:idx val="0"/>
          <c:order val="0"/>
          <c:tx>
            <c:strRef>
              <c:f>'Kopā (4)'!$A$53</c:f>
              <c:strCache>
                <c:ptCount val="1"/>
                <c:pt idx="0">
                  <c:v>Plānotais MK noteikumu apstiprināšanas skaits</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(4)'!$B$53:$L$53</c:f>
              <c:numCache>
                <c:formatCode>General</c:formatCode>
                <c:ptCount val="11"/>
                <c:pt idx="0">
                  <c:v>35</c:v>
                </c:pt>
                <c:pt idx="1">
                  <c:v>58</c:v>
                </c:pt>
                <c:pt idx="2">
                  <c:v>63</c:v>
                </c:pt>
                <c:pt idx="3">
                  <c:v>77</c:v>
                </c:pt>
                <c:pt idx="4">
                  <c:v>86</c:v>
                </c:pt>
                <c:pt idx="5">
                  <c:v>91</c:v>
                </c:pt>
                <c:pt idx="6">
                  <c:v>97</c:v>
                </c:pt>
                <c:pt idx="7">
                  <c:v>103</c:v>
                </c:pt>
                <c:pt idx="8">
                  <c:v>104</c:v>
                </c:pt>
                <c:pt idx="9">
                  <c:v>104</c:v>
                </c:pt>
                <c:pt idx="10">
                  <c:v>104</c:v>
                </c:pt>
              </c:numCache>
            </c:numRef>
          </c:val>
          <c:extLst>
            <c:ext xmlns:c16="http://schemas.microsoft.com/office/drawing/2014/chart" uri="{C3380CC4-5D6E-409C-BE32-E72D297353CC}">
              <c16:uniqueId val="{00000000-595E-427A-A519-E66846EF3814}"/>
            </c:ext>
          </c:extLst>
        </c:ser>
        <c:ser>
          <c:idx val="2"/>
          <c:order val="2"/>
          <c:tx>
            <c:strRef>
              <c:f>'Kopā (4)'!$A$55</c:f>
              <c:strCache>
                <c:ptCount val="1"/>
                <c:pt idx="0">
                  <c:v>Apstiprināti MK noteikumi</c:v>
                </c:pt>
              </c:strCache>
            </c:strRef>
          </c:tx>
          <c:spPr>
            <a:solidFill>
              <a:schemeClr val="accent6">
                <a:lumMod val="40000"/>
                <a:lumOff val="60000"/>
              </a:schemeClr>
            </a:solidFill>
            <a:ln>
              <a:noFill/>
            </a:ln>
            <a:effectLst/>
          </c:spPr>
          <c:invertIfNegative val="0"/>
          <c:dPt>
            <c:idx val="1"/>
            <c:invertIfNegative val="0"/>
            <c:bubble3D val="0"/>
            <c:extLst>
              <c:ext xmlns:c16="http://schemas.microsoft.com/office/drawing/2014/chart" uri="{C3380CC4-5D6E-409C-BE32-E72D297353CC}">
                <c16:uniqueId val="{00000001-595E-427A-A519-E66846EF3814}"/>
              </c:ext>
            </c:extLst>
          </c:dPt>
          <c:dPt>
            <c:idx val="2"/>
            <c:invertIfNegative val="0"/>
            <c:bubble3D val="0"/>
            <c:extLst>
              <c:ext xmlns:c16="http://schemas.microsoft.com/office/drawing/2014/chart" uri="{C3380CC4-5D6E-409C-BE32-E72D297353CC}">
                <c16:uniqueId val="{00000002-595E-427A-A519-E66846EF3814}"/>
              </c:ext>
            </c:extLst>
          </c:dPt>
          <c:dPt>
            <c:idx val="3"/>
            <c:invertIfNegative val="0"/>
            <c:bubble3D val="0"/>
            <c:extLst>
              <c:ext xmlns:c16="http://schemas.microsoft.com/office/drawing/2014/chart" uri="{C3380CC4-5D6E-409C-BE32-E72D297353CC}">
                <c16:uniqueId val="{00000003-595E-427A-A519-E66846EF3814}"/>
              </c:ext>
            </c:extLst>
          </c:dPt>
          <c:dPt>
            <c:idx val="4"/>
            <c:invertIfNegative val="0"/>
            <c:bubble3D val="0"/>
            <c:extLst>
              <c:ext xmlns:c16="http://schemas.microsoft.com/office/drawing/2014/chart" uri="{C3380CC4-5D6E-409C-BE32-E72D297353CC}">
                <c16:uniqueId val="{00000004-595E-427A-A519-E66846EF3814}"/>
              </c:ext>
            </c:extLst>
          </c:dPt>
          <c:dPt>
            <c:idx val="5"/>
            <c:invertIfNegative val="0"/>
            <c:bubble3D val="0"/>
            <c:extLst>
              <c:ext xmlns:c16="http://schemas.microsoft.com/office/drawing/2014/chart" uri="{C3380CC4-5D6E-409C-BE32-E72D297353CC}">
                <c16:uniqueId val="{00000005-595E-427A-A519-E66846EF3814}"/>
              </c:ext>
            </c:extLst>
          </c:dPt>
          <c:dPt>
            <c:idx val="6"/>
            <c:invertIfNegative val="0"/>
            <c:bubble3D val="0"/>
            <c:extLst>
              <c:ext xmlns:c16="http://schemas.microsoft.com/office/drawing/2014/chart" uri="{C3380CC4-5D6E-409C-BE32-E72D297353CC}">
                <c16:uniqueId val="{00000006-595E-427A-A519-E66846EF3814}"/>
              </c:ext>
            </c:extLst>
          </c:dPt>
          <c:dPt>
            <c:idx val="7"/>
            <c:invertIfNegative val="0"/>
            <c:bubble3D val="0"/>
            <c:extLst>
              <c:ext xmlns:c16="http://schemas.microsoft.com/office/drawing/2014/chart" uri="{C3380CC4-5D6E-409C-BE32-E72D297353CC}">
                <c16:uniqueId val="{00000007-595E-427A-A519-E66846EF3814}"/>
              </c:ext>
            </c:extLst>
          </c:dPt>
          <c:dPt>
            <c:idx val="9"/>
            <c:invertIfNegative val="0"/>
            <c:bubble3D val="0"/>
            <c:spPr>
              <a:solidFill>
                <a:srgbClr val="9BBB59">
                  <a:lumMod val="40000"/>
                  <a:lumOff val="60000"/>
                </a:srgbClr>
              </a:solidFill>
              <a:ln>
                <a:noFill/>
              </a:ln>
              <a:effectLst/>
            </c:spPr>
            <c:extLst>
              <c:ext xmlns:c16="http://schemas.microsoft.com/office/drawing/2014/chart" uri="{C3380CC4-5D6E-409C-BE32-E72D297353CC}">
                <c16:uniqueId val="{00000009-595E-427A-A519-E66846EF3814}"/>
              </c:ext>
            </c:extLst>
          </c:dPt>
          <c:dLbls>
            <c:dLbl>
              <c:idx val="7"/>
              <c:layout>
                <c:manualLayout>
                  <c:x val="6.550933508024894E-3"/>
                  <c:y val="0.5047172132176357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95E-427A-A519-E66846EF3814}"/>
                </c:ext>
              </c:extLst>
            </c:dLbl>
            <c:dLbl>
              <c:idx val="8"/>
              <c:layout>
                <c:manualLayout>
                  <c:x val="6.5509335080247335E-3"/>
                  <c:y val="0.51020308433815587"/>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A92-44D5-A29F-DF9EB22DA32D}"/>
                </c:ext>
              </c:extLst>
            </c:dLbl>
            <c:dLbl>
              <c:idx val="9"/>
              <c:layout>
                <c:manualLayout>
                  <c:x val="6.550933508024894E-3"/>
                  <c:y val="0.51568929016710308"/>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595E-427A-A519-E66846EF3814}"/>
                </c:ext>
              </c:extLst>
            </c:dLbl>
            <c:dLbl>
              <c:idx val="10"/>
              <c:layout>
                <c:manualLayout>
                  <c:x val="6.550933508024894E-3"/>
                  <c:y val="0.5376334440660378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A92-44D5-A29F-DF9EB22DA32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(4)'!$B$55:$L$55</c:f>
              <c:numCache>
                <c:formatCode>General</c:formatCode>
                <c:ptCount val="11"/>
                <c:pt idx="0">
                  <c:v>31</c:v>
                </c:pt>
                <c:pt idx="1">
                  <c:v>48</c:v>
                </c:pt>
                <c:pt idx="2">
                  <c:v>56</c:v>
                </c:pt>
                <c:pt idx="3">
                  <c:v>69</c:v>
                </c:pt>
                <c:pt idx="4">
                  <c:v>73</c:v>
                </c:pt>
                <c:pt idx="5">
                  <c:v>78</c:v>
                </c:pt>
                <c:pt idx="6">
                  <c:v>90</c:v>
                </c:pt>
                <c:pt idx="7">
                  <c:v>92</c:v>
                </c:pt>
                <c:pt idx="8">
                  <c:v>93</c:v>
                </c:pt>
                <c:pt idx="9">
                  <c:v>94</c:v>
                </c:pt>
                <c:pt idx="10">
                  <c:v>98</c:v>
                </c:pt>
              </c:numCache>
            </c:numRef>
          </c:val>
          <c:extLst>
            <c:ext xmlns:c16="http://schemas.microsoft.com/office/drawing/2014/chart" uri="{C3380CC4-5D6E-409C-BE32-E72D297353CC}">
              <c16:uniqueId val="{0000000A-595E-427A-A519-E66846EF3814}"/>
            </c:ext>
          </c:extLst>
        </c:ser>
        <c:dLbls>
          <c:showLegendKey val="0"/>
          <c:showVal val="0"/>
          <c:showCatName val="0"/>
          <c:showSerName val="0"/>
          <c:showPercent val="0"/>
          <c:showBubbleSize val="0"/>
        </c:dLbls>
        <c:gapWidth val="150"/>
        <c:axId val="249541696"/>
        <c:axId val="249546176"/>
      </c:barChart>
      <c:lineChart>
        <c:grouping val="standard"/>
        <c:varyColors val="0"/>
        <c:ser>
          <c:idx val="1"/>
          <c:order val="1"/>
          <c:tx>
            <c:strRef>
              <c:f>'Kopā (4)'!$A$54</c:f>
              <c:strCache>
                <c:ptCount val="1"/>
                <c:pt idx="0">
                  <c:v>Plānotais apstiprināto MK noteikumu finansējums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7519212101089808E-2"/>
                  <c:y val="-3.77934197787547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595E-427A-A519-E66846EF3814}"/>
                </c:ext>
              </c:extLst>
            </c:dLbl>
            <c:dLbl>
              <c:idx val="1"/>
              <c:layout>
                <c:manualLayout>
                  <c:x val="-5.031445987174215E-2"/>
                  <c:y val="-2.77151745044201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595E-427A-A519-E66846EF3814}"/>
                </c:ext>
              </c:extLst>
            </c:dLbl>
            <c:dLbl>
              <c:idx val="2"/>
              <c:layout>
                <c:manualLayout>
                  <c:x val="-3.7735844903806638E-2"/>
                  <c:y val="-4.24014395225927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595E-427A-A519-E66846EF3814}"/>
                </c:ext>
              </c:extLst>
            </c:dLbl>
            <c:dLbl>
              <c:idx val="3"/>
              <c:layout>
                <c:manualLayout>
                  <c:x val="-5.1902480070719563E-2"/>
                  <c:y val="-2.7268959801077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595E-427A-A519-E66846EF3814}"/>
                </c:ext>
              </c:extLst>
            </c:dLbl>
            <c:dLbl>
              <c:idx val="4"/>
              <c:layout>
                <c:manualLayout>
                  <c:x val="-4.0308437030722372E-2"/>
                  <c:y val="-2.7268959801077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595E-427A-A519-E66846EF3814}"/>
                </c:ext>
              </c:extLst>
            </c:dLbl>
            <c:dLbl>
              <c:idx val="5"/>
              <c:layout>
                <c:manualLayout>
                  <c:x val="-4.4723999754183216E-2"/>
                  <c:y val="-3.32005129870856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595E-427A-A519-E66846EF3814}"/>
                </c:ext>
              </c:extLst>
            </c:dLbl>
            <c:dLbl>
              <c:idx val="6"/>
              <c:layout>
                <c:manualLayout>
                  <c:x val="-4.751922019353344E-2"/>
                  <c:y val="-4.40132839013899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595E-427A-A519-E66846EF3814}"/>
                </c:ext>
              </c:extLst>
            </c:dLbl>
            <c:dLbl>
              <c:idx val="7"/>
              <c:layout>
                <c:manualLayout>
                  <c:x val="-5.0314440632883664E-2"/>
                  <c:y val="-2.97885328345336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595E-427A-A519-E66846EF3814}"/>
                </c:ext>
              </c:extLst>
            </c:dLbl>
            <c:dLbl>
              <c:idx val="8"/>
              <c:layout>
                <c:manualLayout>
                  <c:x val="-4.4914507759773972E-2"/>
                  <c:y val="-2.9788532834533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595E-427A-A519-E66846EF3814}"/>
                </c:ext>
              </c:extLst>
            </c:dLbl>
            <c:dLbl>
              <c:idx val="9"/>
              <c:layout>
                <c:manualLayout>
                  <c:x val="-4.0150074296546434E-2"/>
                  <c:y val="-4.04570961346759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595E-427A-A519-E66846EF3814}"/>
                </c:ext>
              </c:extLst>
            </c:dLbl>
            <c:dLbl>
              <c:idx val="10"/>
              <c:layout>
                <c:manualLayout>
                  <c:x val="-3.602161296778067E-2"/>
                  <c:y val="-2.84495021337126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25B-483E-888A-6B5EEDECDD6F}"/>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(4)'!$B$54:$L$54</c:f>
              <c:numCache>
                <c:formatCode>#,##0</c:formatCode>
                <c:ptCount val="11"/>
                <c:pt idx="0">
                  <c:v>1242750225</c:v>
                </c:pt>
                <c:pt idx="1">
                  <c:v>2155188793</c:v>
                </c:pt>
                <c:pt idx="2">
                  <c:v>2230708065</c:v>
                </c:pt>
                <c:pt idx="3">
                  <c:v>2961503567</c:v>
                </c:pt>
                <c:pt idx="4">
                  <c:v>3301851179</c:v>
                </c:pt>
                <c:pt idx="5">
                  <c:v>3351385016</c:v>
                </c:pt>
                <c:pt idx="6">
                  <c:v>3628926739</c:v>
                </c:pt>
                <c:pt idx="7">
                  <c:v>3879332431</c:v>
                </c:pt>
                <c:pt idx="8">
                  <c:v>4225971779</c:v>
                </c:pt>
                <c:pt idx="9">
                  <c:v>4225971779</c:v>
                </c:pt>
                <c:pt idx="10">
                  <c:v>4225971779</c:v>
                </c:pt>
              </c:numCache>
            </c:numRef>
          </c:val>
          <c:smooth val="0"/>
          <c:extLst>
            <c:ext xmlns:c16="http://schemas.microsoft.com/office/drawing/2014/chart" uri="{C3380CC4-5D6E-409C-BE32-E72D297353CC}">
              <c16:uniqueId val="{00000015-595E-427A-A519-E66846EF3814}"/>
            </c:ext>
          </c:extLst>
        </c:ser>
        <c:ser>
          <c:idx val="3"/>
          <c:order val="3"/>
          <c:tx>
            <c:strRef>
              <c:f>'Kopā (4)'!$A$56</c:f>
              <c:strCache>
                <c:ptCount val="1"/>
                <c:pt idx="0">
                  <c:v>Apstiprināto MK noteikumu finansējums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2.4014408645187103E-2"/>
                  <c:y val="7.1123755334281651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25B-483E-888A-6B5EEDECDD6F}"/>
                </c:ext>
              </c:extLst>
            </c:dLbl>
            <c:dLbl>
              <c:idx val="1"/>
              <c:layout>
                <c:manualLayout>
                  <c:x val="-2.0806026923240576E-2"/>
                  <c:y val="2.519573033456166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595E-427A-A519-E66846EF3814}"/>
                </c:ext>
              </c:extLst>
            </c:dLbl>
            <c:dLbl>
              <c:idx val="2"/>
              <c:layout>
                <c:manualLayout>
                  <c:x val="-3.0621522519811099E-2"/>
                  <c:y val="2.01565842676493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595E-427A-A519-E66846EF3814}"/>
                </c:ext>
              </c:extLst>
            </c:dLbl>
            <c:dLbl>
              <c:idx val="3"/>
              <c:layout>
                <c:manualLayout>
                  <c:x val="-2.2013207924754891E-2"/>
                  <c:y val="2.43030432006809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595E-427A-A519-E66846EF3814}"/>
                </c:ext>
              </c:extLst>
            </c:dLbl>
            <c:dLbl>
              <c:idx val="4"/>
              <c:layout>
                <c:manualLayout>
                  <c:x val="-2.6809629084537337E-2"/>
                  <c:y val="2.22298137341651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595E-427A-A519-E66846EF3814}"/>
                </c:ext>
              </c:extLst>
            </c:dLbl>
            <c:dLbl>
              <c:idx val="5"/>
              <c:layout>
                <c:manualLayout>
                  <c:x val="-2.0012007204322668E-2"/>
                  <c:y val="2.84495021337126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25B-483E-888A-6B5EEDECDD6F}"/>
                </c:ext>
              </c:extLst>
            </c:dLbl>
            <c:dLbl>
              <c:idx val="6"/>
              <c:layout>
                <c:manualLayout>
                  <c:x val="-2.4395424656368625E-2"/>
                  <c:y val="2.9788532834533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595E-427A-A519-E66846EF3814}"/>
                </c:ext>
              </c:extLst>
            </c:dLbl>
            <c:dLbl>
              <c:idx val="7"/>
              <c:layout>
                <c:manualLayout>
                  <c:x val="-3.6815632686698636E-2"/>
                  <c:y val="2.20713253659793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595E-427A-A519-E66846EF3814}"/>
                </c:ext>
              </c:extLst>
            </c:dLbl>
            <c:dLbl>
              <c:idx val="8"/>
              <c:layout>
                <c:manualLayout>
                  <c:x val="-3.7006140692289392E-2"/>
                  <c:y val="-3.5273742453601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595E-427A-A519-E66846EF3814}"/>
                </c:ext>
              </c:extLst>
            </c:dLbl>
            <c:dLbl>
              <c:idx val="9"/>
              <c:layout>
                <c:manualLayout>
                  <c:x val="-3.6402628978962327E-2"/>
                  <c:y val="-3.77465530179993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595E-427A-A519-E66846EF3814}"/>
                </c:ext>
              </c:extLst>
            </c:dLbl>
            <c:dLbl>
              <c:idx val="10"/>
              <c:layout>
                <c:manualLayout>
                  <c:x val="-3.8022813688212927E-2"/>
                  <c:y val="-2.8642992349996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595E-427A-A519-E66846EF381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'Kopā (4)'!$B$52:$L$52</c:f>
              <c:strCache>
                <c:ptCount val="11"/>
                <c:pt idx="0">
                  <c:v>2014-2015</c:v>
                </c:pt>
                <c:pt idx="1">
                  <c:v>I cet.</c:v>
                </c:pt>
                <c:pt idx="2">
                  <c:v>Aprīlis</c:v>
                </c:pt>
                <c:pt idx="3">
                  <c:v>Maijs</c:v>
                </c:pt>
                <c:pt idx="4">
                  <c:v>Jūnijs</c:v>
                </c:pt>
                <c:pt idx="5">
                  <c:v>Jūlijs</c:v>
                </c:pt>
                <c:pt idx="6">
                  <c:v>Augusts</c:v>
                </c:pt>
                <c:pt idx="7">
                  <c:v>Septembris</c:v>
                </c:pt>
                <c:pt idx="8">
                  <c:v>Oktobris</c:v>
                </c:pt>
                <c:pt idx="9">
                  <c:v>Novembris</c:v>
                </c:pt>
                <c:pt idx="10">
                  <c:v>Decembris</c:v>
                </c:pt>
              </c:strCache>
            </c:strRef>
          </c:cat>
          <c:val>
            <c:numRef>
              <c:f>'Kopā (4)'!$B$56:$L$56</c:f>
              <c:numCache>
                <c:formatCode>#,##0</c:formatCode>
                <c:ptCount val="11"/>
                <c:pt idx="0">
                  <c:v>1076187422</c:v>
                </c:pt>
                <c:pt idx="1">
                  <c:v>1966937422</c:v>
                </c:pt>
                <c:pt idx="2">
                  <c:v>2114180016</c:v>
                </c:pt>
                <c:pt idx="3">
                  <c:v>2643746354</c:v>
                </c:pt>
                <c:pt idx="4">
                  <c:v>2934472660</c:v>
                </c:pt>
                <c:pt idx="5">
                  <c:v>3020809120</c:v>
                </c:pt>
                <c:pt idx="6">
                  <c:v>3478651893</c:v>
                </c:pt>
                <c:pt idx="7">
                  <c:v>3512481923</c:v>
                </c:pt>
                <c:pt idx="8">
                  <c:v>3546981923</c:v>
                </c:pt>
                <c:pt idx="9">
                  <c:v>3566332980</c:v>
                </c:pt>
                <c:pt idx="10">
                  <c:v>3744173946</c:v>
                </c:pt>
              </c:numCache>
            </c:numRef>
          </c:val>
          <c:smooth val="0"/>
          <c:extLst>
            <c:ext xmlns:c16="http://schemas.microsoft.com/office/drawing/2014/chart" uri="{C3380CC4-5D6E-409C-BE32-E72D297353CC}">
              <c16:uniqueId val="{0000001F-595E-427A-A519-E66846EF3814}"/>
            </c:ext>
          </c:extLst>
        </c:ser>
        <c:dLbls>
          <c:showLegendKey val="0"/>
          <c:showVal val="0"/>
          <c:showCatName val="0"/>
          <c:showSerName val="0"/>
          <c:showPercent val="0"/>
          <c:showBubbleSize val="0"/>
        </c:dLbls>
        <c:marker val="1"/>
        <c:smooth val="0"/>
        <c:axId val="249555136"/>
        <c:axId val="249546560"/>
      </c:lineChart>
      <c:catAx>
        <c:axId val="24954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lv-LV"/>
          </a:p>
        </c:txPr>
        <c:crossAx val="249546176"/>
        <c:crosses val="autoZero"/>
        <c:auto val="1"/>
        <c:lblAlgn val="ctr"/>
        <c:lblOffset val="100"/>
        <c:noMultiLvlLbl val="0"/>
      </c:catAx>
      <c:valAx>
        <c:axId val="24954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249541696"/>
        <c:crosses val="autoZero"/>
        <c:crossBetween val="between"/>
      </c:valAx>
      <c:valAx>
        <c:axId val="24954656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v-LV"/>
          </a:p>
        </c:txPr>
        <c:crossAx val="249555136"/>
        <c:crosses val="max"/>
        <c:crossBetween val="between"/>
        <c:dispUnits>
          <c:builtInUnit val="millions"/>
        </c:dispUnits>
      </c:valAx>
      <c:catAx>
        <c:axId val="249555136"/>
        <c:scaling>
          <c:orientation val="minMax"/>
        </c:scaling>
        <c:delete val="1"/>
        <c:axPos val="b"/>
        <c:numFmt formatCode="General" sourceLinked="1"/>
        <c:majorTickMark val="out"/>
        <c:minorTickMark val="none"/>
        <c:tickLblPos val="nextTo"/>
        <c:crossAx val="249546560"/>
        <c:crosses val="autoZero"/>
        <c:auto val="1"/>
        <c:lblAlgn val="ctr"/>
        <c:lblOffset val="100"/>
        <c:noMultiLvlLbl val="0"/>
      </c:catAx>
      <c:spPr>
        <a:noFill/>
        <a:ln>
          <a:noFill/>
        </a:ln>
        <a:effectLst/>
      </c:spPr>
    </c:plotArea>
    <c:legend>
      <c:legendPos val="b"/>
      <c:layout>
        <c:manualLayout>
          <c:xMode val="edge"/>
          <c:yMode val="edge"/>
          <c:x val="0"/>
          <c:y val="0.90136451095736225"/>
          <c:w val="1"/>
          <c:h val="9.863548904263774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0.00117</cdr:x>
      <cdr:y>0.47842</cdr:y>
    </cdr:from>
    <cdr:to>
      <cdr:x>1</cdr:x>
      <cdr:y>0.48002</cdr:y>
    </cdr:to>
    <cdr:cxnSp macro="">
      <cdr:nvCxnSpPr>
        <cdr:cNvPr id="5" name="Straight Connector 4"/>
        <cdr:cNvCxnSpPr/>
      </cdr:nvCxnSpPr>
      <cdr:spPr>
        <a:xfrm xmlns:a="http://schemas.openxmlformats.org/drawingml/2006/main" flipV="1">
          <a:off x="10743" y="2390114"/>
          <a:ext cx="9171358" cy="7993"/>
        </a:xfrm>
        <a:prstGeom xmlns:a="http://schemas.openxmlformats.org/drawingml/2006/main" prst="line">
          <a:avLst/>
        </a:prstGeom>
        <a:ln xmlns:a="http://schemas.openxmlformats.org/drawingml/2006/main">
          <a:solidFill>
            <a:schemeClr val="tx1">
              <a:lumMod val="95000"/>
              <a:lumOff val="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0.13312</cdr:x>
      <cdr:y>0.86947</cdr:y>
    </cdr:from>
    <cdr:to>
      <cdr:x>0.48323</cdr:x>
      <cdr:y>0.94316</cdr:y>
    </cdr:to>
    <cdr:sp macro="" textlink="">
      <cdr:nvSpPr>
        <cdr:cNvPr id="2" name="TextBox 1"/>
        <cdr:cNvSpPr txBox="1"/>
      </cdr:nvSpPr>
      <cdr:spPr>
        <a:xfrm xmlns:a="http://schemas.openxmlformats.org/drawingml/2006/main">
          <a:off x="1209676" y="3933826"/>
          <a:ext cx="318135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860D-27E1-47BC-B274-C700F1BA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5</Pages>
  <Words>6075</Words>
  <Characters>3464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INFORMATĪVAIS ZIŅOJUMS PAR EIROPAS SAVIENĪBAS STRUKTŪRFONDU UN KOHĒZIJAS FONDA INVESTĪCIJU IEVIEŠANAS STATUSU</vt:lpstr>
    </vt:vector>
  </TitlesOfParts>
  <Company>Finanšu ministrija</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EIROPAS SAVIENĪBAS STRUKTŪRFONDU UN KOHĒZIJAS FONDA INVESTĪCIJU IEVIEŠANAS STATUSU</dc:title>
  <dc:subject>Informatīvais ziņojums</dc:subject>
  <dc:creator>Inta Dimzule</dc:creator>
  <cp:keywords/>
  <dc:description>67083873, inta.dimzule@fm.gov.lv</dc:description>
  <cp:lastModifiedBy>Inta Dimzule</cp:lastModifiedBy>
  <cp:revision>154</cp:revision>
  <cp:lastPrinted>2016-12-20T11:17:00Z</cp:lastPrinted>
  <dcterms:created xsi:type="dcterms:W3CDTF">2016-12-20T11:10:00Z</dcterms:created>
  <dcterms:modified xsi:type="dcterms:W3CDTF">2017-01-25T13:21:00Z</dcterms:modified>
</cp:coreProperties>
</file>