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19769" w14:textId="65989263" w:rsidR="000F6666" w:rsidRPr="00255239" w:rsidRDefault="000F6666" w:rsidP="000F6666">
      <w:pPr>
        <w:keepNext/>
        <w:spacing w:line="240" w:lineRule="auto"/>
        <w:jc w:val="center"/>
        <w:rPr>
          <w:rFonts w:ascii="Times New Roman" w:eastAsiaTheme="minorHAnsi" w:hAnsi="Times New Roman" w:cstheme="minorBidi"/>
          <w:b/>
          <w:bCs/>
          <w:sz w:val="18"/>
          <w:szCs w:val="18"/>
        </w:rPr>
      </w:pPr>
      <w:bookmarkStart w:id="0" w:name="_GoBack"/>
      <w:bookmarkEnd w:id="0"/>
      <w:r w:rsidRPr="00255239">
        <w:rPr>
          <w:rFonts w:ascii="Times New Roman" w:eastAsiaTheme="minorHAnsi" w:hAnsi="Times New Roman" w:cstheme="minorBidi"/>
          <w:b/>
          <w:bCs/>
          <w:sz w:val="18"/>
          <w:szCs w:val="18"/>
        </w:rPr>
        <w:t xml:space="preserve">Tabula </w:t>
      </w:r>
      <w:r w:rsidRPr="00255239">
        <w:rPr>
          <w:rFonts w:ascii="Times New Roman" w:eastAsiaTheme="minorHAnsi" w:hAnsi="Times New Roman" w:cstheme="minorBidi"/>
          <w:b/>
          <w:bCs/>
          <w:sz w:val="18"/>
          <w:szCs w:val="18"/>
        </w:rPr>
        <w:fldChar w:fldCharType="begin"/>
      </w:r>
      <w:r w:rsidRPr="00255239">
        <w:rPr>
          <w:rFonts w:ascii="Times New Roman" w:eastAsiaTheme="minorHAnsi" w:hAnsi="Times New Roman" w:cstheme="minorBidi"/>
          <w:b/>
          <w:bCs/>
          <w:sz w:val="18"/>
          <w:szCs w:val="18"/>
        </w:rPr>
        <w:instrText xml:space="preserve"> SEQ Tabula \* ARABIC </w:instrText>
      </w:r>
      <w:r w:rsidRPr="00255239">
        <w:rPr>
          <w:rFonts w:ascii="Times New Roman" w:eastAsiaTheme="minorHAnsi" w:hAnsi="Times New Roman" w:cstheme="minorBidi"/>
          <w:b/>
          <w:bCs/>
          <w:sz w:val="18"/>
          <w:szCs w:val="18"/>
        </w:rPr>
        <w:fldChar w:fldCharType="separate"/>
      </w:r>
      <w:r w:rsidR="005654D2">
        <w:rPr>
          <w:rFonts w:ascii="Times New Roman" w:eastAsiaTheme="minorHAnsi" w:hAnsi="Times New Roman" w:cstheme="minorBidi"/>
          <w:b/>
          <w:bCs/>
          <w:noProof/>
          <w:sz w:val="18"/>
          <w:szCs w:val="18"/>
        </w:rPr>
        <w:t>1</w:t>
      </w:r>
      <w:r w:rsidRPr="00255239">
        <w:rPr>
          <w:rFonts w:ascii="Times New Roman" w:eastAsiaTheme="minorHAnsi" w:hAnsi="Times New Roman" w:cstheme="minorBidi"/>
          <w:b/>
          <w:bCs/>
          <w:sz w:val="18"/>
          <w:szCs w:val="18"/>
        </w:rPr>
        <w:fldChar w:fldCharType="end"/>
      </w:r>
      <w:r w:rsidRPr="00255239">
        <w:rPr>
          <w:rFonts w:ascii="Times New Roman" w:eastAsiaTheme="minorHAnsi" w:hAnsi="Times New Roman" w:cstheme="minorBidi"/>
          <w:b/>
          <w:bCs/>
          <w:sz w:val="18"/>
          <w:szCs w:val="18"/>
        </w:rPr>
        <w:t xml:space="preserve"> Rādītāju pase investīciju prioritātes specifiskajiem mērķiem</w:t>
      </w:r>
    </w:p>
    <w:tbl>
      <w:tblPr>
        <w:tblStyle w:val="TableGrid1"/>
        <w:tblW w:w="14798" w:type="dxa"/>
        <w:tblInd w:w="-459" w:type="dxa"/>
        <w:tblLayout w:type="fixed"/>
        <w:tblLook w:val="04A0" w:firstRow="1" w:lastRow="0" w:firstColumn="1" w:lastColumn="0" w:noHBand="0" w:noVBand="1"/>
      </w:tblPr>
      <w:tblGrid>
        <w:gridCol w:w="1242"/>
        <w:gridCol w:w="1242"/>
        <w:gridCol w:w="1593"/>
        <w:gridCol w:w="4423"/>
        <w:gridCol w:w="3686"/>
        <w:gridCol w:w="2612"/>
      </w:tblGrid>
      <w:tr w:rsidR="000F6666" w:rsidRPr="00255239" w14:paraId="71B48066" w14:textId="77777777" w:rsidTr="16A60C55">
        <w:trPr>
          <w:tblHeader/>
        </w:trPr>
        <w:tc>
          <w:tcPr>
            <w:tcW w:w="1242" w:type="dxa"/>
            <w:shd w:val="clear" w:color="auto" w:fill="D9D9D9" w:themeFill="background1" w:themeFillShade="D9"/>
            <w:vAlign w:val="center"/>
          </w:tcPr>
          <w:p w14:paraId="305A68F8"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Prioritārais virziens</w:t>
            </w:r>
          </w:p>
        </w:tc>
        <w:tc>
          <w:tcPr>
            <w:tcW w:w="1242" w:type="dxa"/>
            <w:shd w:val="clear" w:color="auto" w:fill="D9D9D9" w:themeFill="background1" w:themeFillShade="D9"/>
            <w:vAlign w:val="center"/>
          </w:tcPr>
          <w:p w14:paraId="1779B30F"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Investīciju prioritātes nosaukums</w:t>
            </w:r>
          </w:p>
        </w:tc>
        <w:tc>
          <w:tcPr>
            <w:tcW w:w="1593" w:type="dxa"/>
            <w:shd w:val="clear" w:color="auto" w:fill="D9D9D9" w:themeFill="background1" w:themeFillShade="D9"/>
            <w:vAlign w:val="center"/>
          </w:tcPr>
          <w:p w14:paraId="32D70C6F"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Specifiskie atbalsta mērķi (SAM)</w:t>
            </w:r>
          </w:p>
        </w:tc>
        <w:tc>
          <w:tcPr>
            <w:tcW w:w="4423" w:type="dxa"/>
            <w:shd w:val="clear" w:color="auto" w:fill="D9D9D9" w:themeFill="background1" w:themeFillShade="D9"/>
            <w:vAlign w:val="center"/>
          </w:tcPr>
          <w:p w14:paraId="7F04CAD3"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Rezultāta rādītāji</w:t>
            </w:r>
          </w:p>
        </w:tc>
        <w:tc>
          <w:tcPr>
            <w:tcW w:w="3686" w:type="dxa"/>
            <w:shd w:val="clear" w:color="auto" w:fill="D9D9D9" w:themeFill="background1" w:themeFillShade="D9"/>
            <w:vAlign w:val="center"/>
          </w:tcPr>
          <w:p w14:paraId="75E5EBF2"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Iznākuma rādītāji (IR)</w:t>
            </w:r>
          </w:p>
        </w:tc>
        <w:tc>
          <w:tcPr>
            <w:tcW w:w="2612" w:type="dxa"/>
            <w:shd w:val="clear" w:color="auto" w:fill="D9D9D9" w:themeFill="background1" w:themeFillShade="D9"/>
            <w:vAlign w:val="center"/>
          </w:tcPr>
          <w:p w14:paraId="1099A751" w14:textId="13F6B3EE" w:rsidR="000F6666" w:rsidRPr="00255239" w:rsidRDefault="000F6666" w:rsidP="00234AA7">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Finanšu rādītāji</w:t>
            </w:r>
            <w:r w:rsidR="00234AA7">
              <w:rPr>
                <w:rStyle w:val="FootnoteReference"/>
                <w:rFonts w:ascii="Times New Roman" w:eastAsiaTheme="minorHAnsi" w:hAnsi="Times New Roman" w:cstheme="minorBidi"/>
                <w:b/>
                <w:sz w:val="18"/>
                <w:szCs w:val="18"/>
              </w:rPr>
              <w:footnoteReference w:id="2"/>
            </w:r>
          </w:p>
        </w:tc>
      </w:tr>
      <w:tr w:rsidR="000F6666" w:rsidRPr="00255239" w14:paraId="0873ADC6" w14:textId="77777777" w:rsidTr="16A60C55">
        <w:trPr>
          <w:trHeight w:val="270"/>
        </w:trPr>
        <w:tc>
          <w:tcPr>
            <w:tcW w:w="1242" w:type="dxa"/>
          </w:tcPr>
          <w:p w14:paraId="34AECF2D" w14:textId="77777777" w:rsidR="000F6666" w:rsidRPr="00255239" w:rsidRDefault="000F6666" w:rsidP="00914A11">
            <w:pPr>
              <w:jc w:val="both"/>
              <w:rPr>
                <w:rFonts w:ascii="Times New Roman" w:hAnsi="Times New Roman"/>
                <w:sz w:val="18"/>
                <w:szCs w:val="18"/>
              </w:rPr>
            </w:pPr>
            <w:r w:rsidRPr="00255239">
              <w:rPr>
                <w:rFonts w:ascii="Times New Roman" w:hAnsi="Times New Roman"/>
                <w:sz w:val="18"/>
                <w:szCs w:val="18"/>
              </w:rPr>
              <w:t>6. Ilgtspējīga transporta sistēma</w:t>
            </w:r>
          </w:p>
        </w:tc>
        <w:tc>
          <w:tcPr>
            <w:tcW w:w="1242" w:type="dxa"/>
          </w:tcPr>
          <w:p w14:paraId="314ED095" w14:textId="53367466" w:rsidR="000F6666" w:rsidRPr="00255239" w:rsidRDefault="000F6666" w:rsidP="00914A11">
            <w:pPr>
              <w:jc w:val="both"/>
              <w:rPr>
                <w:rFonts w:ascii="Times New Roman" w:hAnsi="Times New Roman"/>
                <w:sz w:val="18"/>
                <w:szCs w:val="18"/>
              </w:rPr>
            </w:pPr>
            <w:r w:rsidRPr="00255239">
              <w:rPr>
                <w:rFonts w:ascii="Times New Roman" w:hAnsi="Times New Roman"/>
                <w:sz w:val="18"/>
                <w:szCs w:val="18"/>
              </w:rPr>
              <w:t>6.1.ieguldījumu prioritāte: atbalstīt multimodālu Eiropas vienoto transporta telpu</w:t>
            </w:r>
            <w:r w:rsidR="00914A11" w:rsidRPr="00255239">
              <w:rPr>
                <w:rFonts w:ascii="Times New Roman" w:hAnsi="Times New Roman"/>
                <w:sz w:val="18"/>
                <w:szCs w:val="18"/>
              </w:rPr>
              <w:t>,</w:t>
            </w:r>
            <w:r w:rsidRPr="00255239">
              <w:rPr>
                <w:rFonts w:ascii="Times New Roman" w:hAnsi="Times New Roman"/>
                <w:sz w:val="18"/>
                <w:szCs w:val="18"/>
              </w:rPr>
              <w:t xml:space="preserve"> </w:t>
            </w:r>
            <w:r w:rsidR="00914A11" w:rsidRPr="00255239">
              <w:rPr>
                <w:rFonts w:ascii="Times New Roman" w:hAnsi="Times New Roman"/>
                <w:sz w:val="18"/>
                <w:szCs w:val="18"/>
              </w:rPr>
              <w:t>investējot TEN-T</w:t>
            </w:r>
            <w:r w:rsidRPr="00255239">
              <w:rPr>
                <w:rFonts w:ascii="Times New Roman" w:hAnsi="Times New Roman"/>
                <w:sz w:val="18"/>
                <w:szCs w:val="18"/>
              </w:rPr>
              <w:t>.</w:t>
            </w:r>
          </w:p>
        </w:tc>
        <w:tc>
          <w:tcPr>
            <w:tcW w:w="1593" w:type="dxa"/>
          </w:tcPr>
          <w:p w14:paraId="37A4B8CC" w14:textId="2B36ED03" w:rsidR="000F6666" w:rsidRPr="001E1327" w:rsidRDefault="000F6666" w:rsidP="00914A11">
            <w:pPr>
              <w:spacing w:after="0" w:line="240" w:lineRule="auto"/>
              <w:jc w:val="both"/>
              <w:rPr>
                <w:rFonts w:ascii="Times New Roman" w:eastAsiaTheme="minorHAnsi" w:hAnsi="Times New Roman"/>
                <w:sz w:val="18"/>
                <w:szCs w:val="18"/>
              </w:rPr>
            </w:pPr>
            <w:r w:rsidRPr="001E1327">
              <w:rPr>
                <w:rFonts w:ascii="Times New Roman" w:eastAsiaTheme="minorHAnsi" w:hAnsi="Times New Roman"/>
                <w:sz w:val="18"/>
                <w:szCs w:val="18"/>
              </w:rPr>
              <w:t>6.1.</w:t>
            </w:r>
            <w:r w:rsidR="001E1327">
              <w:rPr>
                <w:rFonts w:ascii="Times New Roman" w:eastAsiaTheme="minorHAnsi" w:hAnsi="Times New Roman"/>
                <w:sz w:val="18"/>
                <w:szCs w:val="18"/>
              </w:rPr>
              <w:t>6</w:t>
            </w:r>
            <w:r w:rsidRPr="001E1327">
              <w:rPr>
                <w:rFonts w:ascii="Times New Roman" w:eastAsiaTheme="minorHAnsi" w:hAnsi="Times New Roman"/>
                <w:sz w:val="18"/>
                <w:szCs w:val="18"/>
              </w:rPr>
              <w:t xml:space="preserve">. specifiskais atbalsta mērķis: </w:t>
            </w:r>
            <w:r w:rsidR="001E1327" w:rsidRPr="001E1327">
              <w:rPr>
                <w:rFonts w:ascii="Times New Roman" w:hAnsi="Times New Roman"/>
                <w:sz w:val="18"/>
                <w:szCs w:val="18"/>
              </w:rPr>
              <w:t>Transporta nozares informācijas nacionālā piekļuves punkta izveide</w:t>
            </w:r>
            <w:r w:rsidR="001E1327" w:rsidRPr="001E1327" w:rsidDel="001E1327">
              <w:rPr>
                <w:rFonts w:ascii="Times New Roman" w:eastAsiaTheme="minorHAnsi" w:hAnsi="Times New Roman"/>
                <w:sz w:val="18"/>
                <w:szCs w:val="18"/>
              </w:rPr>
              <w:t xml:space="preserve"> </w:t>
            </w:r>
            <w:r w:rsidR="001E1327" w:rsidRPr="001E1327">
              <w:rPr>
                <w:rFonts w:ascii="Times New Roman" w:eastAsiaTheme="minorHAnsi" w:hAnsi="Times New Roman"/>
                <w:sz w:val="18"/>
                <w:szCs w:val="18"/>
              </w:rPr>
              <w:t xml:space="preserve"> </w:t>
            </w:r>
            <w:r w:rsidR="00914A11" w:rsidRPr="001E1327">
              <w:rPr>
                <w:rFonts w:ascii="Times New Roman" w:eastAsiaTheme="minorHAnsi" w:hAnsi="Times New Roman"/>
                <w:sz w:val="18"/>
                <w:szCs w:val="18"/>
              </w:rPr>
              <w:t>(KF)</w:t>
            </w:r>
          </w:p>
        </w:tc>
        <w:tc>
          <w:tcPr>
            <w:tcW w:w="4423" w:type="dxa"/>
          </w:tcPr>
          <w:p w14:paraId="2CCEBF30" w14:textId="77777777" w:rsidR="00A84A31" w:rsidRDefault="000F6666" w:rsidP="00FD2454">
            <w:pPr>
              <w:spacing w:after="0" w:line="240" w:lineRule="auto"/>
              <w:jc w:val="both"/>
              <w:rPr>
                <w:rFonts w:ascii="Times New Roman" w:eastAsiaTheme="minorHAnsi" w:hAnsi="Times New Roman" w:cstheme="minorBidi"/>
                <w:i/>
                <w:sz w:val="18"/>
                <w:szCs w:val="18"/>
              </w:rPr>
            </w:pPr>
            <w:r w:rsidRPr="00255239">
              <w:rPr>
                <w:rFonts w:ascii="Times New Roman" w:eastAsiaTheme="minorHAnsi" w:hAnsi="Times New Roman" w:cstheme="minorBidi"/>
                <w:i/>
                <w:sz w:val="18"/>
                <w:szCs w:val="18"/>
              </w:rPr>
              <w:t>Nosaukums un mērvienība</w:t>
            </w:r>
            <w:r w:rsidRPr="00930380">
              <w:rPr>
                <w:rFonts w:ascii="Times New Roman" w:eastAsiaTheme="minorHAnsi" w:hAnsi="Times New Roman" w:cstheme="minorBidi"/>
                <w:i/>
                <w:sz w:val="18"/>
                <w:szCs w:val="18"/>
              </w:rPr>
              <w:t>:</w:t>
            </w:r>
          </w:p>
          <w:p w14:paraId="45524DB0" w14:textId="30B66F8A" w:rsidR="000F6666" w:rsidRDefault="000F6666" w:rsidP="00FD2454">
            <w:pPr>
              <w:spacing w:after="0" w:line="240" w:lineRule="auto"/>
              <w:jc w:val="both"/>
              <w:rPr>
                <w:rFonts w:ascii="Cambria" w:hAnsi="Cambria"/>
                <w:sz w:val="18"/>
                <w:szCs w:val="18"/>
                <w:lang w:eastAsia="lv-LV"/>
              </w:rPr>
            </w:pPr>
            <w:r w:rsidRPr="16A60C55">
              <w:rPr>
                <w:rFonts w:ascii="Times New Roman" w:eastAsiaTheme="minorEastAsia" w:hAnsi="Times New Roman" w:cstheme="minorBidi"/>
                <w:i/>
                <w:iCs/>
                <w:sz w:val="18"/>
                <w:szCs w:val="18"/>
              </w:rPr>
              <w:t xml:space="preserve"> </w:t>
            </w:r>
            <w:r w:rsidR="00FD2454" w:rsidRPr="16A60C55">
              <w:rPr>
                <w:rFonts w:ascii="Times New Roman" w:eastAsiaTheme="minorEastAsia" w:hAnsi="Times New Roman" w:cstheme="minorBidi"/>
                <w:sz w:val="18"/>
                <w:szCs w:val="18"/>
              </w:rPr>
              <w:t>r.6.1.</w:t>
            </w:r>
            <w:r w:rsidR="001E1327" w:rsidRPr="16A60C55">
              <w:rPr>
                <w:rFonts w:ascii="Times New Roman" w:eastAsiaTheme="minorEastAsia" w:hAnsi="Times New Roman" w:cstheme="minorBidi"/>
                <w:sz w:val="18"/>
                <w:szCs w:val="18"/>
              </w:rPr>
              <w:t>6</w:t>
            </w:r>
            <w:r w:rsidR="00FD2454" w:rsidRPr="16A60C55">
              <w:rPr>
                <w:rFonts w:ascii="Times New Roman" w:eastAsiaTheme="minorEastAsia" w:hAnsi="Times New Roman" w:cstheme="minorBidi"/>
                <w:sz w:val="18"/>
                <w:szCs w:val="18"/>
              </w:rPr>
              <w:t>.a</w:t>
            </w:r>
            <w:r w:rsidR="00FD2454" w:rsidRPr="16A60C55">
              <w:rPr>
                <w:rFonts w:ascii="Times New Roman" w:eastAsiaTheme="minorEastAsia" w:hAnsi="Times New Roman" w:cstheme="minorBidi"/>
                <w:b/>
                <w:bCs/>
                <w:sz w:val="18"/>
                <w:szCs w:val="18"/>
              </w:rPr>
              <w:t xml:space="preserve"> </w:t>
            </w:r>
            <w:r w:rsidR="004D4EBE" w:rsidRPr="16A60C55">
              <w:rPr>
                <w:rFonts w:ascii="Times New Roman" w:hAnsi="Times New Roman"/>
                <w:sz w:val="20"/>
                <w:szCs w:val="20"/>
                <w:lang w:eastAsia="lv-LV"/>
              </w:rPr>
              <w:t xml:space="preserve">Transporta nozares informācijas nacionālajā (valsts) piekļuves punktā </w:t>
            </w:r>
            <w:r w:rsidR="00F52F08" w:rsidRPr="16A60C55">
              <w:rPr>
                <w:rFonts w:ascii="Times New Roman" w:hAnsi="Times New Roman"/>
                <w:sz w:val="20"/>
                <w:szCs w:val="20"/>
                <w:lang w:eastAsia="lv-LV"/>
              </w:rPr>
              <w:t>pieejamo datu kategoriju skaits</w:t>
            </w:r>
            <w:r w:rsidR="00F52F08" w:rsidRPr="16A60C55">
              <w:rPr>
                <w:rFonts w:ascii="Cambria" w:hAnsi="Cambria"/>
                <w:sz w:val="18"/>
                <w:szCs w:val="18"/>
                <w:lang w:eastAsia="lv-LV"/>
              </w:rPr>
              <w:t xml:space="preserve"> </w:t>
            </w:r>
          </w:p>
          <w:p w14:paraId="41E6EDE8" w14:textId="5341B505" w:rsidR="00F52F08" w:rsidRDefault="00F52F08" w:rsidP="00FD2454">
            <w:pPr>
              <w:spacing w:after="0" w:line="240" w:lineRule="auto"/>
              <w:jc w:val="both"/>
              <w:rPr>
                <w:rFonts w:ascii="Cambria" w:hAnsi="Cambria"/>
                <w:sz w:val="18"/>
                <w:szCs w:val="18"/>
                <w:lang w:eastAsia="lv-LV"/>
              </w:rPr>
            </w:pPr>
          </w:p>
          <w:p w14:paraId="1ACA758F" w14:textId="4DDD8276" w:rsidR="00F52F08" w:rsidRPr="0054553D" w:rsidRDefault="00F52F08" w:rsidP="16A60C55">
            <w:pPr>
              <w:spacing w:after="0" w:line="240" w:lineRule="auto"/>
              <w:jc w:val="both"/>
              <w:rPr>
                <w:rFonts w:ascii="Cambria" w:hAnsi="Cambria"/>
                <w:i/>
                <w:iCs/>
                <w:sz w:val="18"/>
                <w:szCs w:val="18"/>
                <w:lang w:eastAsia="lv-LV"/>
              </w:rPr>
            </w:pPr>
            <w:r w:rsidRPr="16A60C55">
              <w:rPr>
                <w:rFonts w:ascii="Cambria" w:hAnsi="Cambria"/>
                <w:i/>
                <w:iCs/>
                <w:sz w:val="18"/>
                <w:szCs w:val="18"/>
                <w:lang w:eastAsia="lv-LV"/>
              </w:rPr>
              <w:t>Definīcija</w:t>
            </w:r>
          </w:p>
          <w:p w14:paraId="63550DFA" w14:textId="5B43332A" w:rsidR="00397CA3" w:rsidDel="005C3DA0" w:rsidRDefault="008B5E4D" w:rsidP="16A60C55">
            <w:pPr>
              <w:spacing w:after="0"/>
              <w:ind w:left="360"/>
              <w:jc w:val="both"/>
              <w:rPr>
                <w:rFonts w:ascii="Times New Roman" w:hAnsi="Times New Roman"/>
                <w:sz w:val="20"/>
                <w:szCs w:val="20"/>
              </w:rPr>
            </w:pPr>
            <w:r w:rsidRPr="16A60C55">
              <w:rPr>
                <w:rFonts w:ascii="Times New Roman" w:hAnsi="Times New Roman"/>
                <w:sz w:val="20"/>
                <w:szCs w:val="20"/>
                <w:lang w:eastAsia="lv-LV"/>
              </w:rPr>
              <w:t>Datu kategorijas</w:t>
            </w:r>
            <w:r w:rsidR="002D03C1" w:rsidRPr="16A60C55">
              <w:rPr>
                <w:rFonts w:ascii="Times New Roman" w:hAnsi="Times New Roman"/>
                <w:sz w:val="20"/>
                <w:szCs w:val="20"/>
                <w:lang w:eastAsia="lv-LV"/>
              </w:rPr>
              <w:t xml:space="preserve"> </w:t>
            </w:r>
            <w:r w:rsidR="00C03CE1" w:rsidRPr="16A60C55">
              <w:rPr>
                <w:rFonts w:ascii="Times New Roman" w:hAnsi="Times New Roman"/>
                <w:sz w:val="20"/>
                <w:szCs w:val="20"/>
                <w:lang w:eastAsia="lv-LV"/>
              </w:rPr>
              <w:t>–</w:t>
            </w:r>
            <w:r w:rsidR="002D03C1" w:rsidRPr="16A60C55">
              <w:rPr>
                <w:rFonts w:ascii="Times New Roman" w:hAnsi="Times New Roman"/>
                <w:sz w:val="20"/>
                <w:szCs w:val="20"/>
                <w:lang w:eastAsia="lv-LV"/>
              </w:rPr>
              <w:t xml:space="preserve"> </w:t>
            </w:r>
            <w:r w:rsidR="00221533" w:rsidRPr="16A60C55">
              <w:rPr>
                <w:rFonts w:ascii="Times New Roman" w:hAnsi="Times New Roman"/>
                <w:sz w:val="20"/>
                <w:szCs w:val="20"/>
                <w:lang w:eastAsia="lv-LV"/>
              </w:rPr>
              <w:t>Transporta nozares informācijas nacionālajā (valsts) piekļuves punktā</w:t>
            </w:r>
            <w:r w:rsidR="00C03CE1" w:rsidRPr="16A60C55">
              <w:rPr>
                <w:rFonts w:ascii="Times New Roman" w:hAnsi="Times New Roman"/>
                <w:sz w:val="20"/>
                <w:szCs w:val="20"/>
                <w:lang w:eastAsia="lv-LV"/>
              </w:rPr>
              <w:t xml:space="preserve"> </w:t>
            </w:r>
            <w:r w:rsidR="00E33E63" w:rsidRPr="16A60C55">
              <w:rPr>
                <w:rFonts w:ascii="Times New Roman" w:hAnsi="Times New Roman"/>
                <w:sz w:val="20"/>
                <w:szCs w:val="20"/>
              </w:rPr>
              <w:t>pie</w:t>
            </w:r>
            <w:r w:rsidR="1868649E" w:rsidRPr="16A60C55">
              <w:rPr>
                <w:rFonts w:ascii="Times New Roman" w:hAnsi="Times New Roman"/>
                <w:sz w:val="20"/>
                <w:szCs w:val="20"/>
              </w:rPr>
              <w:t>e</w:t>
            </w:r>
            <w:r w:rsidR="00E33E63" w:rsidRPr="16A60C55">
              <w:rPr>
                <w:rFonts w:ascii="Times New Roman" w:hAnsi="Times New Roman"/>
                <w:sz w:val="20"/>
                <w:szCs w:val="20"/>
              </w:rPr>
              <w:t>jam</w:t>
            </w:r>
            <w:r w:rsidR="002D133F" w:rsidRPr="16A60C55">
              <w:rPr>
                <w:rFonts w:ascii="Times New Roman" w:hAnsi="Times New Roman"/>
                <w:sz w:val="20"/>
                <w:szCs w:val="20"/>
              </w:rPr>
              <w:t>i</w:t>
            </w:r>
            <w:r w:rsidR="466F5B18" w:rsidRPr="16A60C55">
              <w:rPr>
                <w:rFonts w:ascii="Times New Roman" w:hAnsi="Times New Roman"/>
                <w:sz w:val="20"/>
                <w:szCs w:val="20"/>
              </w:rPr>
              <w:t>:</w:t>
            </w:r>
            <w:r w:rsidR="00E33E63" w:rsidRPr="16A60C55">
              <w:rPr>
                <w:rFonts w:ascii="Times New Roman" w:hAnsi="Times New Roman"/>
                <w:sz w:val="20"/>
                <w:szCs w:val="20"/>
              </w:rPr>
              <w:t xml:space="preserve"> </w:t>
            </w:r>
          </w:p>
          <w:p w14:paraId="0F69B7BD" w14:textId="4CA66A59" w:rsidR="00397CA3" w:rsidDel="005C3DA0" w:rsidRDefault="005C3DA0" w:rsidP="16A60C55">
            <w:pPr>
              <w:pStyle w:val="ListParagraph"/>
              <w:numPr>
                <w:ilvl w:val="0"/>
                <w:numId w:val="1"/>
              </w:numPr>
              <w:spacing w:after="0"/>
              <w:jc w:val="both"/>
              <w:rPr>
                <w:sz w:val="20"/>
                <w:szCs w:val="20"/>
              </w:rPr>
            </w:pPr>
            <w:r w:rsidRPr="16A60C55">
              <w:rPr>
                <w:rFonts w:ascii="Times New Roman" w:hAnsi="Times New Roman"/>
                <w:sz w:val="20"/>
                <w:szCs w:val="20"/>
              </w:rPr>
              <w:t>dažādu transporta veidu maršruta un satiksmes dat</w:t>
            </w:r>
            <w:r w:rsidR="00E33E63" w:rsidRPr="16A60C55">
              <w:rPr>
                <w:rFonts w:ascii="Times New Roman" w:hAnsi="Times New Roman"/>
                <w:sz w:val="20"/>
                <w:szCs w:val="20"/>
              </w:rPr>
              <w:t>i</w:t>
            </w:r>
            <w:r w:rsidR="0A1F3429" w:rsidRPr="16A60C55">
              <w:rPr>
                <w:rFonts w:ascii="Times New Roman" w:hAnsi="Times New Roman"/>
                <w:sz w:val="20"/>
                <w:szCs w:val="20"/>
              </w:rPr>
              <w:t>;</w:t>
            </w:r>
          </w:p>
          <w:p w14:paraId="70AA07AB" w14:textId="38160B97" w:rsidR="00397CA3" w:rsidDel="005C3DA0" w:rsidRDefault="4E115EE1" w:rsidP="16A60C55">
            <w:pPr>
              <w:pStyle w:val="ListParagraph"/>
              <w:numPr>
                <w:ilvl w:val="0"/>
                <w:numId w:val="1"/>
              </w:numPr>
              <w:jc w:val="both"/>
              <w:rPr>
                <w:rFonts w:ascii="Times New Roman" w:eastAsia="Times New Roman" w:hAnsi="Times New Roman"/>
                <w:sz w:val="20"/>
                <w:szCs w:val="20"/>
              </w:rPr>
            </w:pPr>
            <w:r w:rsidRPr="16A60C55">
              <w:rPr>
                <w:rFonts w:ascii="Times New Roman" w:hAnsi="Times New Roman"/>
                <w:sz w:val="20"/>
                <w:szCs w:val="20"/>
              </w:rPr>
              <w:t>d</w:t>
            </w:r>
            <w:r w:rsidR="005C3DA0" w:rsidRPr="16A60C55">
              <w:rPr>
                <w:rFonts w:ascii="Times New Roman" w:hAnsi="Times New Roman"/>
                <w:sz w:val="20"/>
                <w:szCs w:val="20"/>
              </w:rPr>
              <w:t>a</w:t>
            </w:r>
            <w:r w:rsidR="00E33E63" w:rsidRPr="16A60C55">
              <w:rPr>
                <w:rFonts w:ascii="Times New Roman" w:hAnsi="Times New Roman"/>
                <w:sz w:val="20"/>
                <w:szCs w:val="20"/>
              </w:rPr>
              <w:t>ti</w:t>
            </w:r>
            <w:r w:rsidR="005C3DA0" w:rsidRPr="16A60C55">
              <w:rPr>
                <w:rFonts w:ascii="Times New Roman" w:hAnsi="Times New Roman"/>
                <w:sz w:val="20"/>
                <w:szCs w:val="20"/>
              </w:rPr>
              <w:t xml:space="preserve"> par stāvlaukumiem</w:t>
            </w:r>
            <w:r w:rsidR="073532D4" w:rsidRPr="16A60C55">
              <w:rPr>
                <w:rFonts w:ascii="Times New Roman" w:hAnsi="Times New Roman"/>
                <w:sz w:val="20"/>
                <w:szCs w:val="20"/>
              </w:rPr>
              <w:t>;</w:t>
            </w:r>
          </w:p>
          <w:p w14:paraId="1DBA27F9" w14:textId="1A08590A" w:rsidR="00397CA3" w:rsidDel="005C3DA0" w:rsidRDefault="005C3DA0" w:rsidP="16A60C55">
            <w:pPr>
              <w:pStyle w:val="ListParagraph"/>
              <w:numPr>
                <w:ilvl w:val="0"/>
                <w:numId w:val="1"/>
              </w:numPr>
              <w:jc w:val="both"/>
              <w:rPr>
                <w:rFonts w:ascii="Times New Roman" w:eastAsia="Times New Roman" w:hAnsi="Times New Roman"/>
                <w:sz w:val="20"/>
                <w:szCs w:val="20"/>
              </w:rPr>
            </w:pPr>
            <w:r w:rsidRPr="16A60C55">
              <w:rPr>
                <w:rFonts w:ascii="Times New Roman" w:hAnsi="Times New Roman"/>
                <w:sz w:val="20"/>
                <w:szCs w:val="20"/>
              </w:rPr>
              <w:t>ar ceļu drošību saistīti dat</w:t>
            </w:r>
            <w:r w:rsidR="00E33E63" w:rsidRPr="16A60C55">
              <w:rPr>
                <w:rFonts w:ascii="Times New Roman" w:hAnsi="Times New Roman"/>
                <w:sz w:val="20"/>
                <w:szCs w:val="20"/>
              </w:rPr>
              <w:t>i</w:t>
            </w:r>
            <w:r w:rsidR="748F10D4" w:rsidRPr="16A60C55">
              <w:rPr>
                <w:rFonts w:ascii="Times New Roman" w:hAnsi="Times New Roman"/>
                <w:sz w:val="20"/>
                <w:szCs w:val="20"/>
              </w:rPr>
              <w:t>;</w:t>
            </w:r>
          </w:p>
          <w:p w14:paraId="1BB9ABA5" w14:textId="111ADB16" w:rsidR="004D4EBE" w:rsidRPr="005C026E" w:rsidRDefault="005C3DA0" w:rsidP="16A60C55">
            <w:pPr>
              <w:pStyle w:val="ListParagraph"/>
              <w:numPr>
                <w:ilvl w:val="0"/>
                <w:numId w:val="1"/>
              </w:numPr>
              <w:jc w:val="both"/>
              <w:rPr>
                <w:rFonts w:ascii="Times New Roman" w:eastAsia="Times New Roman" w:hAnsi="Times New Roman"/>
                <w:sz w:val="20"/>
                <w:szCs w:val="20"/>
              </w:rPr>
            </w:pPr>
            <w:r w:rsidRPr="16A60C55">
              <w:rPr>
                <w:rFonts w:ascii="Times New Roman" w:hAnsi="Times New Roman"/>
                <w:sz w:val="20"/>
                <w:szCs w:val="20"/>
              </w:rPr>
              <w:t>autoceļu un satiksmes dat</w:t>
            </w:r>
            <w:r w:rsidR="00E33E63" w:rsidRPr="16A60C55">
              <w:rPr>
                <w:rFonts w:ascii="Times New Roman" w:hAnsi="Times New Roman"/>
                <w:sz w:val="20"/>
                <w:szCs w:val="20"/>
              </w:rPr>
              <w:t>i</w:t>
            </w:r>
            <w:r w:rsidR="7B88B335" w:rsidRPr="16A60C55">
              <w:rPr>
                <w:rFonts w:ascii="Times New Roman" w:hAnsi="Times New Roman"/>
                <w:sz w:val="20"/>
                <w:szCs w:val="20"/>
              </w:rPr>
              <w:t>.</w:t>
            </w:r>
          </w:p>
          <w:p w14:paraId="497E816A" w14:textId="6F851B28" w:rsidR="004D4EBE" w:rsidRPr="005C026E" w:rsidRDefault="005C3DA0" w:rsidP="17145F4F">
            <w:pPr>
              <w:jc w:val="both"/>
              <w:rPr>
                <w:rFonts w:ascii="Times New Roman" w:eastAsiaTheme="minorEastAsia" w:hAnsi="Times New Roman"/>
                <w:sz w:val="20"/>
                <w:szCs w:val="20"/>
              </w:rPr>
            </w:pPr>
            <w:r w:rsidRPr="16A60C55">
              <w:rPr>
                <w:rFonts w:ascii="Times New Roman" w:hAnsi="Times New Roman"/>
                <w:sz w:val="20"/>
                <w:szCs w:val="20"/>
              </w:rPr>
              <w:t xml:space="preserve"> </w:t>
            </w:r>
            <w:r w:rsidR="3511D867" w:rsidRPr="16A60C55">
              <w:rPr>
                <w:rFonts w:ascii="Times New Roman" w:hAnsi="Times New Roman"/>
                <w:sz w:val="20"/>
                <w:szCs w:val="20"/>
              </w:rPr>
              <w:t xml:space="preserve">Šos datus </w:t>
            </w:r>
            <w:r w:rsidR="548E01CC" w:rsidRPr="16A60C55">
              <w:rPr>
                <w:rFonts w:ascii="Times New Roman" w:hAnsi="Times New Roman"/>
                <w:sz w:val="20"/>
                <w:szCs w:val="20"/>
              </w:rPr>
              <w:t xml:space="preserve">nacionālajā (valsts) piekļuves punktā </w:t>
            </w:r>
            <w:r w:rsidR="3511D867" w:rsidRPr="16A60C55">
              <w:rPr>
                <w:rFonts w:ascii="Times New Roman" w:hAnsi="Times New Roman"/>
                <w:sz w:val="20"/>
                <w:szCs w:val="20"/>
              </w:rPr>
              <w:t>ie</w:t>
            </w:r>
            <w:r w:rsidR="00A6438B" w:rsidRPr="16A60C55">
              <w:rPr>
                <w:rFonts w:ascii="Times New Roman" w:hAnsi="Times New Roman"/>
                <w:sz w:val="20"/>
                <w:szCs w:val="20"/>
              </w:rPr>
              <w:t>sniedz transporta infrastruktūru pārvaldītāji,</w:t>
            </w:r>
            <w:r w:rsidR="3E9C4F14" w:rsidRPr="16A60C55">
              <w:rPr>
                <w:rFonts w:ascii="Times New Roman" w:hAnsi="Times New Roman"/>
                <w:sz w:val="20"/>
                <w:szCs w:val="20"/>
              </w:rPr>
              <w:t xml:space="preserve"> par ceļiem atbildīgās iestādes,</w:t>
            </w:r>
            <w:r w:rsidR="00A6438B" w:rsidRPr="16A60C55">
              <w:rPr>
                <w:rFonts w:ascii="Times New Roman" w:hAnsi="Times New Roman"/>
                <w:sz w:val="20"/>
                <w:szCs w:val="20"/>
              </w:rPr>
              <w:t xml:space="preserve"> autoceļu, s</w:t>
            </w:r>
            <w:r w:rsidR="004D4EBE" w:rsidRPr="16A60C55">
              <w:rPr>
                <w:rFonts w:ascii="Times New Roman" w:hAnsi="Times New Roman"/>
                <w:sz w:val="20"/>
                <w:szCs w:val="20"/>
              </w:rPr>
              <w:t xml:space="preserve">tāvlaukumu </w:t>
            </w:r>
            <w:proofErr w:type="spellStart"/>
            <w:r w:rsidR="004D4EBE" w:rsidRPr="16A60C55">
              <w:rPr>
                <w:rFonts w:ascii="Times New Roman" w:hAnsi="Times New Roman"/>
                <w:sz w:val="20"/>
                <w:szCs w:val="20"/>
              </w:rPr>
              <w:t>apsaimniekotāji</w:t>
            </w:r>
            <w:proofErr w:type="spellEnd"/>
            <w:r w:rsidR="004D4EBE" w:rsidRPr="16A60C55">
              <w:rPr>
                <w:rFonts w:ascii="Times New Roman" w:hAnsi="Times New Roman"/>
                <w:sz w:val="20"/>
                <w:szCs w:val="20"/>
              </w:rPr>
              <w:t xml:space="preserve"> un pakalpojumu sniedzēji</w:t>
            </w:r>
            <w:r w:rsidR="00A6438B" w:rsidRPr="16A60C55">
              <w:rPr>
                <w:rFonts w:ascii="Times New Roman" w:hAnsi="Times New Roman"/>
                <w:sz w:val="20"/>
                <w:szCs w:val="20"/>
              </w:rPr>
              <w:t>, pārvadātāji, transporta pēc pieprasījuma pakalpojumu sniedzēji</w:t>
            </w:r>
            <w:r w:rsidR="75FC4A8E" w:rsidRPr="16A60C55">
              <w:rPr>
                <w:rFonts w:ascii="Times New Roman" w:hAnsi="Times New Roman"/>
                <w:sz w:val="20"/>
                <w:szCs w:val="20"/>
              </w:rPr>
              <w:t xml:space="preserve"> un citi</w:t>
            </w:r>
            <w:r w:rsidR="4AB76B32" w:rsidRPr="16A60C55">
              <w:rPr>
                <w:rFonts w:ascii="Times New Roman" w:hAnsi="Times New Roman"/>
                <w:sz w:val="20"/>
                <w:szCs w:val="20"/>
              </w:rPr>
              <w:t>.</w:t>
            </w:r>
            <w:r w:rsidR="00E33E63" w:rsidRPr="16A60C55">
              <w:rPr>
                <w:rFonts w:ascii="Times New Roman" w:hAnsi="Times New Roman"/>
                <w:sz w:val="20"/>
                <w:szCs w:val="20"/>
              </w:rPr>
              <w:t xml:space="preserve"> </w:t>
            </w:r>
          </w:p>
          <w:p w14:paraId="7F46B9C5" w14:textId="7520B1A9" w:rsidR="000F6666" w:rsidRPr="00600DE7" w:rsidRDefault="00F52F08" w:rsidP="16A60C55">
            <w:pPr>
              <w:spacing w:after="0" w:line="240" w:lineRule="auto"/>
              <w:jc w:val="both"/>
              <w:rPr>
                <w:rFonts w:ascii="Times New Roman" w:eastAsiaTheme="minorEastAsia" w:hAnsi="Times New Roman" w:cstheme="minorBidi"/>
                <w:sz w:val="18"/>
                <w:szCs w:val="18"/>
              </w:rPr>
            </w:pPr>
            <w:r w:rsidRPr="16A60C55">
              <w:rPr>
                <w:rFonts w:ascii="Cambria" w:hAnsi="Cambria"/>
                <w:i/>
                <w:iCs/>
                <w:sz w:val="18"/>
                <w:szCs w:val="18"/>
                <w:lang w:eastAsia="lv-LV"/>
              </w:rPr>
              <w:t>Bāzes vērtība un tās noteikšanas gads:</w:t>
            </w:r>
          </w:p>
          <w:p w14:paraId="017B4224" w14:textId="4DF18B6A" w:rsidR="000F6666" w:rsidRPr="00600DE7" w:rsidRDefault="00653227" w:rsidP="16A60C55">
            <w:pPr>
              <w:spacing w:after="0" w:line="240" w:lineRule="auto"/>
              <w:jc w:val="both"/>
              <w:rPr>
                <w:rFonts w:ascii="Times New Roman" w:eastAsiaTheme="minorEastAsia" w:hAnsi="Times New Roman" w:cstheme="minorBidi"/>
                <w:sz w:val="18"/>
                <w:szCs w:val="18"/>
              </w:rPr>
            </w:pPr>
            <w:r w:rsidRPr="16A60C55">
              <w:rPr>
                <w:rFonts w:ascii="Times New Roman" w:eastAsiaTheme="minorEastAsia" w:hAnsi="Times New Roman" w:cstheme="minorBidi"/>
                <w:sz w:val="18"/>
                <w:szCs w:val="18"/>
              </w:rPr>
              <w:t>2020</w:t>
            </w:r>
            <w:r w:rsidR="010443ED" w:rsidRPr="16A60C55">
              <w:rPr>
                <w:rFonts w:ascii="Times New Roman" w:eastAsiaTheme="minorEastAsia" w:hAnsi="Times New Roman" w:cstheme="minorBidi"/>
                <w:sz w:val="18"/>
                <w:szCs w:val="18"/>
              </w:rPr>
              <w:t>.gads</w:t>
            </w:r>
            <w:r w:rsidR="00717BCA">
              <w:rPr>
                <w:rFonts w:ascii="Times New Roman" w:eastAsiaTheme="minorEastAsia" w:hAnsi="Times New Roman" w:cstheme="minorBidi"/>
                <w:sz w:val="18"/>
                <w:szCs w:val="18"/>
              </w:rPr>
              <w:t xml:space="preserve"> - 0</w:t>
            </w:r>
          </w:p>
          <w:p w14:paraId="43E870E6" w14:textId="2AFE7D29" w:rsidR="00653227" w:rsidRDefault="00653227" w:rsidP="16A60C55">
            <w:pPr>
              <w:spacing w:after="0" w:line="240" w:lineRule="auto"/>
              <w:jc w:val="both"/>
              <w:rPr>
                <w:rFonts w:ascii="Times New Roman" w:eastAsiaTheme="minorEastAsia" w:hAnsi="Times New Roman" w:cstheme="minorBidi"/>
                <w:i/>
                <w:iCs/>
                <w:sz w:val="18"/>
                <w:szCs w:val="18"/>
              </w:rPr>
            </w:pPr>
          </w:p>
          <w:p w14:paraId="1F4EEBCB" w14:textId="1255B9CE" w:rsidR="00653227" w:rsidRDefault="00653227" w:rsidP="16A60C55">
            <w:pPr>
              <w:spacing w:after="0" w:line="240" w:lineRule="auto"/>
              <w:jc w:val="both"/>
              <w:rPr>
                <w:rFonts w:ascii="Times New Roman" w:eastAsiaTheme="minorEastAsia" w:hAnsi="Times New Roman" w:cstheme="minorBidi"/>
                <w:i/>
                <w:iCs/>
                <w:sz w:val="18"/>
                <w:szCs w:val="18"/>
              </w:rPr>
            </w:pPr>
            <w:r w:rsidRPr="16A60C55">
              <w:rPr>
                <w:rFonts w:ascii="Times New Roman" w:eastAsiaTheme="minorEastAsia" w:hAnsi="Times New Roman" w:cstheme="minorBidi"/>
                <w:i/>
                <w:iCs/>
                <w:sz w:val="18"/>
                <w:szCs w:val="18"/>
              </w:rPr>
              <w:t>Datu avots:</w:t>
            </w:r>
            <w:r w:rsidR="00820934" w:rsidRPr="16A60C55">
              <w:rPr>
                <w:rFonts w:ascii="Times New Roman" w:eastAsiaTheme="minorEastAsia" w:hAnsi="Times New Roman" w:cstheme="minorBidi"/>
                <w:i/>
                <w:iCs/>
                <w:sz w:val="18"/>
                <w:szCs w:val="18"/>
              </w:rPr>
              <w:t xml:space="preserve"> </w:t>
            </w:r>
          </w:p>
          <w:p w14:paraId="001458C1" w14:textId="21F9F319" w:rsidR="00653227" w:rsidRPr="00255239" w:rsidRDefault="00820934" w:rsidP="16A60C55">
            <w:pPr>
              <w:spacing w:after="0" w:line="240" w:lineRule="auto"/>
              <w:jc w:val="both"/>
              <w:rPr>
                <w:rFonts w:ascii="Times New Roman" w:eastAsiaTheme="minorEastAsia" w:hAnsi="Times New Roman" w:cstheme="minorBidi"/>
                <w:i/>
                <w:iCs/>
                <w:sz w:val="18"/>
                <w:szCs w:val="18"/>
              </w:rPr>
            </w:pPr>
            <w:r w:rsidRPr="16A60C55">
              <w:rPr>
                <w:rFonts w:ascii="Times New Roman" w:eastAsiaTheme="minorEastAsia" w:hAnsi="Times New Roman" w:cstheme="minorBidi"/>
                <w:i/>
                <w:iCs/>
                <w:sz w:val="18"/>
                <w:szCs w:val="18"/>
              </w:rPr>
              <w:t>Valsts akciju sabiedrība “Latvijas Valsts ceļi” izveidotajā nacionālās piekļuves punktā iekļautās datu kategorijas</w:t>
            </w:r>
            <w:r w:rsidR="1F03C573" w:rsidRPr="16A60C55">
              <w:rPr>
                <w:rFonts w:ascii="Times New Roman" w:eastAsiaTheme="minorEastAsia" w:hAnsi="Times New Roman" w:cstheme="minorBidi"/>
                <w:i/>
                <w:iCs/>
                <w:sz w:val="18"/>
                <w:szCs w:val="18"/>
              </w:rPr>
              <w:t>.</w:t>
            </w:r>
          </w:p>
          <w:p w14:paraId="5C66200C" w14:textId="77777777" w:rsidR="000F6666" w:rsidRDefault="000F6666" w:rsidP="16A60C55">
            <w:pPr>
              <w:spacing w:after="0" w:line="240" w:lineRule="auto"/>
              <w:jc w:val="both"/>
              <w:rPr>
                <w:rFonts w:ascii="Times New Roman" w:hAnsi="Times New Roman"/>
                <w:sz w:val="18"/>
                <w:szCs w:val="18"/>
              </w:rPr>
            </w:pPr>
            <w:r w:rsidRPr="16A60C55">
              <w:rPr>
                <w:rFonts w:ascii="Times New Roman" w:hAnsi="Times New Roman"/>
                <w:sz w:val="18"/>
                <w:szCs w:val="18"/>
              </w:rPr>
              <w:t xml:space="preserve"> </w:t>
            </w:r>
          </w:p>
          <w:p w14:paraId="300AC0B3" w14:textId="1BF05D46" w:rsidR="00600DE7" w:rsidRPr="00600DE7" w:rsidRDefault="00600DE7" w:rsidP="16A60C55">
            <w:pPr>
              <w:spacing w:after="0" w:line="240" w:lineRule="auto"/>
              <w:jc w:val="both"/>
              <w:rPr>
                <w:rFonts w:ascii="Times New Roman" w:hAnsi="Times New Roman"/>
                <w:i/>
                <w:iCs/>
                <w:sz w:val="18"/>
                <w:szCs w:val="18"/>
              </w:rPr>
            </w:pPr>
            <w:bookmarkStart w:id="1" w:name="_Hlk36210816"/>
            <w:r w:rsidRPr="16A60C55">
              <w:rPr>
                <w:rFonts w:ascii="Times New Roman" w:hAnsi="Times New Roman"/>
                <w:i/>
                <w:iCs/>
                <w:sz w:val="18"/>
                <w:szCs w:val="18"/>
              </w:rPr>
              <w:t>Apkopošanas biežums un ieguves metodoloģija</w:t>
            </w:r>
            <w:r w:rsidR="49F073F0" w:rsidRPr="16A60C55">
              <w:rPr>
                <w:rFonts w:ascii="Times New Roman" w:hAnsi="Times New Roman"/>
                <w:i/>
                <w:iCs/>
                <w:sz w:val="18"/>
                <w:szCs w:val="18"/>
              </w:rPr>
              <w:t>:</w:t>
            </w:r>
          </w:p>
          <w:p w14:paraId="659A56C7" w14:textId="7BEA34F9" w:rsidR="00600DE7" w:rsidRDefault="005654D2" w:rsidP="16A60C55">
            <w:pPr>
              <w:spacing w:after="0" w:line="240" w:lineRule="auto"/>
              <w:jc w:val="both"/>
              <w:rPr>
                <w:rFonts w:ascii="Times New Roman" w:hAnsi="Times New Roman"/>
                <w:sz w:val="18"/>
                <w:szCs w:val="18"/>
              </w:rPr>
            </w:pPr>
            <w:r>
              <w:rPr>
                <w:rFonts w:ascii="Times New Roman" w:hAnsi="Times New Roman"/>
                <w:sz w:val="18"/>
                <w:szCs w:val="18"/>
              </w:rPr>
              <w:t>Projekta īstenošanas noslēgumā</w:t>
            </w:r>
            <w:bookmarkEnd w:id="1"/>
          </w:p>
          <w:p w14:paraId="311F0804" w14:textId="77777777" w:rsidR="00600DE7" w:rsidRDefault="00600DE7" w:rsidP="16A60C55">
            <w:pPr>
              <w:spacing w:after="0" w:line="240" w:lineRule="auto"/>
              <w:jc w:val="both"/>
              <w:rPr>
                <w:rFonts w:ascii="Times New Roman" w:hAnsi="Times New Roman"/>
                <w:sz w:val="18"/>
                <w:szCs w:val="18"/>
              </w:rPr>
            </w:pPr>
          </w:p>
          <w:p w14:paraId="34CFB523" w14:textId="10DC6726" w:rsidR="00600DE7" w:rsidRDefault="00815664" w:rsidP="16A60C55">
            <w:pPr>
              <w:spacing w:after="0" w:line="240" w:lineRule="auto"/>
              <w:jc w:val="both"/>
              <w:rPr>
                <w:rFonts w:ascii="Times New Roman" w:eastAsiaTheme="minorEastAsia" w:hAnsi="Times New Roman"/>
                <w:i/>
                <w:iCs/>
                <w:sz w:val="18"/>
                <w:szCs w:val="18"/>
              </w:rPr>
            </w:pPr>
            <w:r w:rsidRPr="16A60C55">
              <w:rPr>
                <w:rFonts w:ascii="Times New Roman" w:eastAsiaTheme="minorEastAsia" w:hAnsi="Times New Roman"/>
                <w:i/>
                <w:iCs/>
                <w:sz w:val="18"/>
                <w:szCs w:val="18"/>
              </w:rPr>
              <w:t>Mērķis</w:t>
            </w:r>
            <w:r w:rsidR="27F72EAC" w:rsidRPr="16A60C55">
              <w:rPr>
                <w:rFonts w:ascii="Times New Roman" w:eastAsiaTheme="minorEastAsia" w:hAnsi="Times New Roman"/>
                <w:i/>
                <w:iCs/>
                <w:sz w:val="18"/>
                <w:szCs w:val="18"/>
              </w:rPr>
              <w:t>:</w:t>
            </w:r>
          </w:p>
          <w:p w14:paraId="11E82852" w14:textId="73A377E8" w:rsidR="00600DE7" w:rsidRDefault="27F72EAC" w:rsidP="16A60C55">
            <w:pPr>
              <w:spacing w:after="0" w:line="240" w:lineRule="auto"/>
              <w:jc w:val="both"/>
              <w:rPr>
                <w:rFonts w:ascii="Times New Roman" w:eastAsiaTheme="minorEastAsia" w:hAnsi="Times New Roman"/>
                <w:i/>
                <w:iCs/>
                <w:sz w:val="18"/>
                <w:szCs w:val="18"/>
              </w:rPr>
            </w:pPr>
            <w:r w:rsidRPr="16A60C55">
              <w:rPr>
                <w:rFonts w:ascii="Times New Roman" w:eastAsiaTheme="minorEastAsia" w:hAnsi="Times New Roman"/>
                <w:i/>
                <w:iCs/>
                <w:sz w:val="18"/>
                <w:szCs w:val="18"/>
              </w:rPr>
              <w:lastRenderedPageBreak/>
              <w:t>2023.gads</w:t>
            </w:r>
            <w:r w:rsidR="00717BCA">
              <w:rPr>
                <w:rFonts w:ascii="Times New Roman" w:eastAsiaTheme="minorEastAsia" w:hAnsi="Times New Roman"/>
                <w:i/>
                <w:iCs/>
                <w:sz w:val="18"/>
                <w:szCs w:val="18"/>
              </w:rPr>
              <w:t xml:space="preserve"> - </w:t>
            </w:r>
            <w:r w:rsidR="00717BCA">
              <w:rPr>
                <w:rFonts w:ascii="Times New Roman" w:eastAsiaTheme="minorEastAsia" w:hAnsi="Times New Roman"/>
                <w:sz w:val="18"/>
                <w:szCs w:val="18"/>
              </w:rPr>
              <w:t>20</w:t>
            </w:r>
          </w:p>
          <w:p w14:paraId="7742FF75" w14:textId="77777777" w:rsidR="00820934" w:rsidRDefault="00820934" w:rsidP="16A60C55">
            <w:pPr>
              <w:spacing w:after="0" w:line="240" w:lineRule="auto"/>
              <w:jc w:val="both"/>
              <w:rPr>
                <w:rFonts w:ascii="Times New Roman" w:eastAsiaTheme="minorEastAsia" w:hAnsi="Times New Roman"/>
                <w:i/>
                <w:iCs/>
                <w:sz w:val="18"/>
                <w:szCs w:val="18"/>
              </w:rPr>
            </w:pPr>
          </w:p>
          <w:p w14:paraId="3C2CE0FF" w14:textId="77777777" w:rsidR="00820934" w:rsidRDefault="00820934" w:rsidP="16A60C55">
            <w:pPr>
              <w:spacing w:after="0" w:line="240" w:lineRule="auto"/>
              <w:jc w:val="both"/>
              <w:rPr>
                <w:rFonts w:ascii="Times New Roman" w:eastAsiaTheme="minorEastAsia" w:hAnsi="Times New Roman"/>
                <w:i/>
                <w:iCs/>
                <w:sz w:val="18"/>
                <w:szCs w:val="18"/>
              </w:rPr>
            </w:pPr>
            <w:r w:rsidRPr="16A60C55">
              <w:rPr>
                <w:rFonts w:ascii="Times New Roman" w:eastAsiaTheme="minorEastAsia" w:hAnsi="Times New Roman"/>
                <w:i/>
                <w:iCs/>
                <w:sz w:val="18"/>
                <w:szCs w:val="18"/>
              </w:rPr>
              <w:t>Mērķa vērtības noteikšanas principi/metodoloģija:</w:t>
            </w:r>
          </w:p>
          <w:p w14:paraId="3F520235" w14:textId="4C9FA224" w:rsidR="008435A2" w:rsidRDefault="008435A2" w:rsidP="16A60C55">
            <w:pPr>
              <w:spacing w:after="0"/>
              <w:jc w:val="both"/>
              <w:rPr>
                <w:rFonts w:ascii="Times New Roman" w:eastAsiaTheme="minorEastAsia" w:hAnsi="Times New Roman"/>
                <w:sz w:val="20"/>
                <w:szCs w:val="20"/>
              </w:rPr>
            </w:pPr>
            <w:r>
              <w:rPr>
                <w:rFonts w:ascii="Times New Roman" w:hAnsi="Times New Roman"/>
                <w:sz w:val="20"/>
                <w:szCs w:val="20"/>
              </w:rPr>
              <w:t xml:space="preserve">Mērķa vērtība – datu kategorijas, noteikta </w:t>
            </w:r>
            <w:r w:rsidRPr="005C026E">
              <w:rPr>
                <w:rFonts w:ascii="Times New Roman" w:hAnsi="Times New Roman"/>
                <w:sz w:val="20"/>
                <w:szCs w:val="20"/>
              </w:rPr>
              <w:t xml:space="preserve">atbilstoši </w:t>
            </w:r>
            <w:r w:rsidRPr="16A60C55">
              <w:rPr>
                <w:rFonts w:ascii="Times New Roman" w:eastAsiaTheme="minorEastAsia" w:hAnsi="Times New Roman"/>
                <w:sz w:val="20"/>
                <w:szCs w:val="20"/>
              </w:rPr>
              <w:t xml:space="preserve">informatīvā ziņojuma “Par </w:t>
            </w:r>
            <w:proofErr w:type="spellStart"/>
            <w:r w:rsidRPr="16A60C55">
              <w:rPr>
                <w:rFonts w:ascii="Times New Roman" w:eastAsiaTheme="minorEastAsia" w:hAnsi="Times New Roman"/>
                <w:sz w:val="20"/>
                <w:szCs w:val="20"/>
              </w:rPr>
              <w:t>intelektisko</w:t>
            </w:r>
            <w:proofErr w:type="spellEnd"/>
            <w:r w:rsidRPr="16A60C55">
              <w:rPr>
                <w:rFonts w:ascii="Times New Roman" w:eastAsiaTheme="minorEastAsia" w:hAnsi="Times New Roman"/>
                <w:sz w:val="20"/>
                <w:szCs w:val="20"/>
              </w:rPr>
              <w:t xml:space="preserve"> transporta sistēmu ieviešanu Latvijas autotransporta jomā un to </w:t>
            </w:r>
            <w:proofErr w:type="spellStart"/>
            <w:r w:rsidRPr="16A60C55">
              <w:rPr>
                <w:rFonts w:ascii="Times New Roman" w:eastAsiaTheme="minorEastAsia" w:hAnsi="Times New Roman"/>
                <w:sz w:val="20"/>
                <w:szCs w:val="20"/>
              </w:rPr>
              <w:t>saskarnēm</w:t>
            </w:r>
            <w:proofErr w:type="spellEnd"/>
            <w:r w:rsidRPr="16A60C55">
              <w:rPr>
                <w:rFonts w:ascii="Times New Roman" w:eastAsiaTheme="minorEastAsia" w:hAnsi="Times New Roman"/>
                <w:sz w:val="20"/>
                <w:szCs w:val="20"/>
              </w:rPr>
              <w:t xml:space="preserve"> ar citiem transporta veidiem” </w:t>
            </w:r>
            <w:r w:rsidR="00DE0B1A">
              <w:rPr>
                <w:rFonts w:ascii="Times New Roman" w:eastAsiaTheme="minorEastAsia" w:hAnsi="Times New Roman"/>
                <w:sz w:val="20"/>
                <w:szCs w:val="20"/>
              </w:rPr>
              <w:t>P</w:t>
            </w:r>
            <w:r w:rsidRPr="16A60C55">
              <w:rPr>
                <w:rFonts w:ascii="Times New Roman" w:eastAsiaTheme="minorEastAsia" w:hAnsi="Times New Roman"/>
                <w:sz w:val="20"/>
                <w:szCs w:val="20"/>
              </w:rPr>
              <w:t>ielikumam</w:t>
            </w:r>
            <w:r>
              <w:rPr>
                <w:rStyle w:val="FootnoteReference"/>
                <w:rFonts w:ascii="Times New Roman" w:eastAsiaTheme="minorHAnsi" w:hAnsi="Times New Roman"/>
                <w:sz w:val="20"/>
                <w:szCs w:val="20"/>
              </w:rPr>
              <w:footnoteReference w:id="3"/>
            </w:r>
            <w:r w:rsidR="55EA3BFE" w:rsidRPr="16A60C55">
              <w:rPr>
                <w:rFonts w:ascii="Times New Roman" w:eastAsiaTheme="minorEastAsia" w:hAnsi="Times New Roman"/>
                <w:sz w:val="20"/>
                <w:szCs w:val="20"/>
              </w:rPr>
              <w:t>.</w:t>
            </w:r>
          </w:p>
          <w:p w14:paraId="328E0EEF" w14:textId="1D927250" w:rsidR="16A60C55" w:rsidRDefault="16A60C55" w:rsidP="16A60C55">
            <w:pPr>
              <w:spacing w:after="0"/>
              <w:jc w:val="both"/>
              <w:rPr>
                <w:rFonts w:ascii="Times New Roman" w:eastAsiaTheme="minorEastAsia" w:hAnsi="Times New Roman"/>
                <w:sz w:val="20"/>
                <w:szCs w:val="20"/>
              </w:rPr>
            </w:pPr>
          </w:p>
          <w:p w14:paraId="77887EB9" w14:textId="653A83D4" w:rsidR="007A51FE" w:rsidRDefault="007A51FE" w:rsidP="16A60C55">
            <w:pPr>
              <w:spacing w:after="0"/>
              <w:jc w:val="both"/>
              <w:rPr>
                <w:rFonts w:ascii="Times New Roman" w:hAnsi="Times New Roman"/>
                <w:i/>
                <w:iCs/>
                <w:sz w:val="18"/>
                <w:szCs w:val="18"/>
              </w:rPr>
            </w:pPr>
            <w:r w:rsidRPr="16A60C55">
              <w:rPr>
                <w:rFonts w:ascii="Times New Roman" w:hAnsi="Times New Roman"/>
                <w:i/>
                <w:iCs/>
                <w:sz w:val="18"/>
                <w:szCs w:val="18"/>
              </w:rPr>
              <w:t>Darbības, kas liek uzskatīt rādītāju par izpildītu:</w:t>
            </w:r>
          </w:p>
          <w:p w14:paraId="10E045AB" w14:textId="7586791D" w:rsidR="000A2DCE" w:rsidRDefault="000A2DCE" w:rsidP="16A60C55">
            <w:pPr>
              <w:spacing w:after="0"/>
              <w:jc w:val="both"/>
              <w:rPr>
                <w:rFonts w:ascii="Times New Roman" w:hAnsi="Times New Roman"/>
                <w:i/>
                <w:iCs/>
                <w:sz w:val="18"/>
                <w:szCs w:val="18"/>
              </w:rPr>
            </w:pPr>
            <w:r w:rsidRPr="16A60C55">
              <w:rPr>
                <w:rFonts w:ascii="Times New Roman" w:hAnsi="Times New Roman"/>
                <w:sz w:val="20"/>
                <w:szCs w:val="20"/>
                <w:lang w:eastAsia="lv-LV"/>
              </w:rPr>
              <w:t xml:space="preserve">Transporta nozares informācijas nacionālajā (valsts) piekļuves punktā dati ir </w:t>
            </w:r>
            <w:r w:rsidR="00604F76" w:rsidRPr="16A60C55">
              <w:rPr>
                <w:rFonts w:ascii="Times New Roman" w:hAnsi="Times New Roman"/>
                <w:sz w:val="20"/>
                <w:szCs w:val="20"/>
                <w:lang w:eastAsia="lv-LV"/>
              </w:rPr>
              <w:t xml:space="preserve">publiski </w:t>
            </w:r>
            <w:r w:rsidRPr="16A60C55">
              <w:rPr>
                <w:rFonts w:ascii="Times New Roman" w:hAnsi="Times New Roman"/>
                <w:sz w:val="20"/>
                <w:szCs w:val="20"/>
                <w:lang w:eastAsia="lv-LV"/>
              </w:rPr>
              <w:t>pieejami</w:t>
            </w:r>
            <w:r w:rsidR="00604F76" w:rsidRPr="16A60C55">
              <w:rPr>
                <w:rFonts w:ascii="Times New Roman" w:hAnsi="Times New Roman"/>
                <w:sz w:val="20"/>
                <w:szCs w:val="20"/>
                <w:lang w:eastAsia="lv-LV"/>
              </w:rPr>
              <w:t xml:space="preserve"> </w:t>
            </w:r>
            <w:proofErr w:type="spellStart"/>
            <w:r w:rsidR="00604F76" w:rsidRPr="16A60C55">
              <w:rPr>
                <w:rFonts w:ascii="Times New Roman" w:hAnsi="Times New Roman"/>
                <w:sz w:val="20"/>
                <w:szCs w:val="20"/>
                <w:lang w:eastAsia="lv-LV"/>
              </w:rPr>
              <w:t>atkalizmantošanai</w:t>
            </w:r>
            <w:proofErr w:type="spellEnd"/>
            <w:r w:rsidR="00604F76" w:rsidRPr="16A60C55">
              <w:rPr>
                <w:rFonts w:ascii="Times New Roman" w:hAnsi="Times New Roman"/>
                <w:sz w:val="20"/>
                <w:szCs w:val="20"/>
                <w:lang w:eastAsia="lv-LV"/>
              </w:rPr>
              <w:t xml:space="preserve"> ITS deleģētajās regulās noteiktā mašīnlasāmā formātā.</w:t>
            </w:r>
          </w:p>
          <w:p w14:paraId="68FCFDAE" w14:textId="77777777" w:rsidR="00E33E63" w:rsidRDefault="00E33E63" w:rsidP="16A60C55">
            <w:pPr>
              <w:jc w:val="both"/>
              <w:rPr>
                <w:rFonts w:ascii="Times New Roman" w:hAnsi="Times New Roman"/>
                <w:i/>
                <w:iCs/>
                <w:sz w:val="18"/>
                <w:szCs w:val="18"/>
              </w:rPr>
            </w:pPr>
          </w:p>
          <w:p w14:paraId="3325F2A1" w14:textId="309D28A4" w:rsidR="000700B6" w:rsidRPr="007A51FE" w:rsidRDefault="000700B6" w:rsidP="16A60C55">
            <w:pPr>
              <w:jc w:val="both"/>
              <w:rPr>
                <w:rFonts w:ascii="Times New Roman" w:hAnsi="Times New Roman"/>
                <w:i/>
                <w:iCs/>
                <w:sz w:val="18"/>
                <w:szCs w:val="18"/>
              </w:rPr>
            </w:pPr>
          </w:p>
          <w:p w14:paraId="01CCCC20" w14:textId="77777777" w:rsidR="007A51FE" w:rsidRPr="005C026E" w:rsidRDefault="007A51FE" w:rsidP="16A60C55">
            <w:pPr>
              <w:jc w:val="both"/>
              <w:rPr>
                <w:rFonts w:ascii="Times New Roman" w:eastAsiaTheme="minorEastAsia" w:hAnsi="Times New Roman"/>
                <w:sz w:val="20"/>
                <w:szCs w:val="20"/>
              </w:rPr>
            </w:pPr>
          </w:p>
          <w:p w14:paraId="3AA90DFB" w14:textId="40529BB9" w:rsidR="00DF00E2" w:rsidRPr="007A51FE" w:rsidRDefault="00DF00E2" w:rsidP="00E24137">
            <w:pPr>
              <w:spacing w:after="0" w:line="240" w:lineRule="auto"/>
              <w:jc w:val="both"/>
              <w:rPr>
                <w:rFonts w:ascii="Times New Roman" w:eastAsiaTheme="minorHAnsi" w:hAnsi="Times New Roman"/>
                <w:iCs/>
                <w:sz w:val="18"/>
                <w:szCs w:val="18"/>
              </w:rPr>
            </w:pPr>
          </w:p>
        </w:tc>
        <w:tc>
          <w:tcPr>
            <w:tcW w:w="3686" w:type="dxa"/>
          </w:tcPr>
          <w:p w14:paraId="028A2F94" w14:textId="3955BA21" w:rsidR="000F6666" w:rsidRPr="00425814" w:rsidRDefault="000F6666" w:rsidP="001C6A76">
            <w:pPr>
              <w:spacing w:after="0" w:line="240" w:lineRule="auto"/>
              <w:jc w:val="both"/>
              <w:rPr>
                <w:rFonts w:ascii="Times New Roman" w:eastAsiaTheme="minorHAnsi" w:hAnsi="Times New Roman"/>
                <w:b/>
                <w:bCs/>
                <w:sz w:val="18"/>
                <w:szCs w:val="18"/>
              </w:rPr>
            </w:pPr>
            <w:r w:rsidRPr="00425814">
              <w:rPr>
                <w:rFonts w:ascii="Times New Roman" w:eastAsiaTheme="minorHAnsi" w:hAnsi="Times New Roman" w:cstheme="minorBidi"/>
                <w:i/>
                <w:sz w:val="18"/>
                <w:szCs w:val="18"/>
              </w:rPr>
              <w:lastRenderedPageBreak/>
              <w:t xml:space="preserve">IR1 nosaukums un mērvienība: </w:t>
            </w:r>
            <w:r w:rsidR="001C6A76" w:rsidRPr="00425814">
              <w:rPr>
                <w:rFonts w:ascii="Times New Roman" w:eastAsiaTheme="minorHAnsi" w:hAnsi="Times New Roman" w:cstheme="minorBidi"/>
                <w:sz w:val="18"/>
                <w:szCs w:val="18"/>
              </w:rPr>
              <w:t>i.6.1.</w:t>
            </w:r>
            <w:r w:rsidR="00137636" w:rsidRPr="00425814">
              <w:rPr>
                <w:rFonts w:ascii="Times New Roman" w:eastAsiaTheme="minorHAnsi" w:hAnsi="Times New Roman" w:cstheme="minorBidi"/>
                <w:sz w:val="18"/>
                <w:szCs w:val="18"/>
              </w:rPr>
              <w:t>6</w:t>
            </w:r>
            <w:r w:rsidR="001C6A76" w:rsidRPr="00425814">
              <w:rPr>
                <w:rFonts w:ascii="Times New Roman" w:eastAsiaTheme="minorHAnsi" w:hAnsi="Times New Roman" w:cstheme="minorBidi"/>
                <w:sz w:val="18"/>
                <w:szCs w:val="18"/>
              </w:rPr>
              <w:t xml:space="preserve">.a </w:t>
            </w:r>
            <w:r w:rsidR="00F840A7">
              <w:rPr>
                <w:rFonts w:ascii="Times New Roman" w:hAnsi="Times New Roman"/>
                <w:b/>
                <w:bCs/>
                <w:sz w:val="18"/>
                <w:szCs w:val="18"/>
              </w:rPr>
              <w:t>Izveidots transporta nozares informācijas nacionālais piekļuves punkts</w:t>
            </w:r>
          </w:p>
          <w:p w14:paraId="0A4FE8A2" w14:textId="77777777" w:rsidR="000F6666" w:rsidRPr="00425814" w:rsidRDefault="000F6666" w:rsidP="00914A11">
            <w:pPr>
              <w:spacing w:after="0" w:line="240" w:lineRule="auto"/>
              <w:jc w:val="both"/>
              <w:rPr>
                <w:rFonts w:ascii="Times New Roman" w:eastAsiaTheme="minorHAnsi" w:hAnsi="Times New Roman" w:cstheme="minorBidi"/>
                <w:i/>
                <w:sz w:val="18"/>
                <w:szCs w:val="18"/>
              </w:rPr>
            </w:pPr>
          </w:p>
          <w:p w14:paraId="3A72F7F9" w14:textId="5DE860A1" w:rsidR="001C6A76" w:rsidRPr="00425814" w:rsidRDefault="001C6A76" w:rsidP="00914A11">
            <w:pPr>
              <w:spacing w:after="0" w:line="240" w:lineRule="auto"/>
              <w:jc w:val="both"/>
              <w:rPr>
                <w:rFonts w:ascii="Times New Roman" w:eastAsiaTheme="minorHAnsi" w:hAnsi="Times New Roman" w:cstheme="minorBidi"/>
                <w:i/>
                <w:sz w:val="18"/>
                <w:szCs w:val="18"/>
              </w:rPr>
            </w:pPr>
            <w:r w:rsidRPr="00425814">
              <w:rPr>
                <w:rFonts w:ascii="Times New Roman" w:eastAsiaTheme="minorHAnsi" w:hAnsi="Times New Roman" w:cstheme="minorBidi"/>
                <w:i/>
                <w:sz w:val="18"/>
                <w:szCs w:val="18"/>
              </w:rPr>
              <w:t xml:space="preserve">Definīcija: </w:t>
            </w:r>
          </w:p>
          <w:p w14:paraId="300D2C9F" w14:textId="40CFB89D" w:rsidR="00BD2ACA" w:rsidRPr="00425814" w:rsidRDefault="00FC114E" w:rsidP="00914A11">
            <w:pPr>
              <w:spacing w:after="0" w:line="240" w:lineRule="auto"/>
              <w:jc w:val="both"/>
              <w:rPr>
                <w:rFonts w:ascii="Times New Roman" w:eastAsiaTheme="minorHAnsi" w:hAnsi="Times New Roman" w:cstheme="minorBidi"/>
                <w:iCs/>
                <w:sz w:val="18"/>
                <w:szCs w:val="18"/>
              </w:rPr>
            </w:pPr>
            <w:r w:rsidRPr="00425814">
              <w:rPr>
                <w:rFonts w:ascii="Times New Roman" w:eastAsiaTheme="minorHAnsi" w:hAnsi="Times New Roman" w:cstheme="minorBidi"/>
                <w:iCs/>
                <w:sz w:val="18"/>
                <w:szCs w:val="18"/>
              </w:rPr>
              <w:t>SAM ietvaros izveidots t</w:t>
            </w:r>
            <w:r w:rsidR="00BD2ACA" w:rsidRPr="00425814">
              <w:rPr>
                <w:rFonts w:ascii="Times New Roman" w:eastAsiaTheme="minorHAnsi" w:hAnsi="Times New Roman" w:cstheme="minorBidi"/>
                <w:iCs/>
                <w:sz w:val="18"/>
                <w:szCs w:val="18"/>
              </w:rPr>
              <w:t>ransporta nozares informācijas nacionāl</w:t>
            </w:r>
            <w:r w:rsidRPr="00425814">
              <w:rPr>
                <w:rFonts w:ascii="Times New Roman" w:eastAsiaTheme="minorHAnsi" w:hAnsi="Times New Roman" w:cstheme="minorBidi"/>
                <w:iCs/>
                <w:sz w:val="18"/>
                <w:szCs w:val="18"/>
              </w:rPr>
              <w:t>ais</w:t>
            </w:r>
            <w:r w:rsidR="00E30BAB" w:rsidRPr="00425814">
              <w:rPr>
                <w:rFonts w:ascii="Times New Roman" w:eastAsiaTheme="minorHAnsi" w:hAnsi="Times New Roman" w:cstheme="minorBidi"/>
                <w:iCs/>
                <w:sz w:val="18"/>
                <w:szCs w:val="18"/>
              </w:rPr>
              <w:t xml:space="preserve"> </w:t>
            </w:r>
            <w:r w:rsidR="00BD2ACA" w:rsidRPr="00425814">
              <w:rPr>
                <w:rFonts w:ascii="Times New Roman" w:eastAsiaTheme="minorHAnsi" w:hAnsi="Times New Roman" w:cstheme="minorBidi"/>
                <w:iCs/>
                <w:sz w:val="18"/>
                <w:szCs w:val="18"/>
              </w:rPr>
              <w:t xml:space="preserve"> (valsts) piekļuves punk</w:t>
            </w:r>
            <w:r w:rsidRPr="00425814">
              <w:rPr>
                <w:rFonts w:ascii="Times New Roman" w:eastAsiaTheme="minorHAnsi" w:hAnsi="Times New Roman" w:cstheme="minorBidi"/>
                <w:iCs/>
                <w:sz w:val="18"/>
                <w:szCs w:val="18"/>
              </w:rPr>
              <w:t>ts</w:t>
            </w:r>
            <w:r w:rsidR="00BD2ACA" w:rsidRPr="00425814">
              <w:rPr>
                <w:rFonts w:ascii="Times New Roman" w:eastAsiaTheme="minorHAnsi" w:hAnsi="Times New Roman" w:cstheme="minorBidi"/>
                <w:iCs/>
                <w:sz w:val="18"/>
                <w:szCs w:val="18"/>
              </w:rPr>
              <w:t xml:space="preserve"> (NPP)</w:t>
            </w:r>
            <w:r w:rsidR="00E30BAB" w:rsidRPr="00425814">
              <w:rPr>
                <w:rFonts w:ascii="Times New Roman" w:eastAsiaTheme="minorHAnsi" w:hAnsi="Times New Roman" w:cstheme="minorBidi"/>
                <w:iCs/>
                <w:sz w:val="18"/>
                <w:szCs w:val="18"/>
              </w:rPr>
              <w:t xml:space="preserve">, kas </w:t>
            </w:r>
            <w:r w:rsidR="0025034C">
              <w:rPr>
                <w:rFonts w:ascii="Times New Roman" w:eastAsiaTheme="minorHAnsi" w:hAnsi="Times New Roman" w:cstheme="minorBidi"/>
                <w:iCs/>
                <w:sz w:val="18"/>
                <w:szCs w:val="18"/>
              </w:rPr>
              <w:t xml:space="preserve">rada ITS infrastruktūras pamatu Latvijā un </w:t>
            </w:r>
            <w:r w:rsidR="00BD2ACA" w:rsidRPr="00425814">
              <w:rPr>
                <w:rFonts w:ascii="Times New Roman" w:eastAsiaTheme="minorHAnsi" w:hAnsi="Times New Roman" w:cstheme="minorBidi"/>
                <w:iCs/>
                <w:sz w:val="18"/>
                <w:szCs w:val="18"/>
              </w:rPr>
              <w:t>nodrošin</w:t>
            </w:r>
            <w:r w:rsidR="00E30BAB" w:rsidRPr="00425814">
              <w:rPr>
                <w:rFonts w:ascii="Times New Roman" w:eastAsiaTheme="minorHAnsi" w:hAnsi="Times New Roman" w:cstheme="minorBidi"/>
                <w:iCs/>
                <w:sz w:val="18"/>
                <w:szCs w:val="18"/>
              </w:rPr>
              <w:t>ās</w:t>
            </w:r>
            <w:r w:rsidR="00BD2ACA" w:rsidRPr="00425814">
              <w:rPr>
                <w:rFonts w:ascii="Times New Roman" w:eastAsiaTheme="minorHAnsi" w:hAnsi="Times New Roman" w:cstheme="minorBidi"/>
                <w:iCs/>
                <w:sz w:val="18"/>
                <w:szCs w:val="18"/>
              </w:rPr>
              <w:t xml:space="preserve"> eksistējošu u</w:t>
            </w:r>
            <w:r w:rsidR="0025034C">
              <w:rPr>
                <w:rFonts w:ascii="Times New Roman" w:eastAsiaTheme="minorHAnsi" w:hAnsi="Times New Roman" w:cstheme="minorBidi"/>
                <w:iCs/>
                <w:sz w:val="18"/>
                <w:szCs w:val="18"/>
              </w:rPr>
              <w:t>n</w:t>
            </w:r>
            <w:r w:rsidR="00BD2ACA" w:rsidRPr="00425814">
              <w:rPr>
                <w:rFonts w:ascii="Times New Roman" w:eastAsiaTheme="minorHAnsi" w:hAnsi="Times New Roman" w:cstheme="minorBidi"/>
                <w:iCs/>
                <w:sz w:val="18"/>
                <w:szCs w:val="18"/>
              </w:rPr>
              <w:t xml:space="preserve"> </w:t>
            </w:r>
            <w:proofErr w:type="spellStart"/>
            <w:r w:rsidR="00BD2ACA" w:rsidRPr="00425814">
              <w:rPr>
                <w:rFonts w:ascii="Times New Roman" w:eastAsiaTheme="minorHAnsi" w:hAnsi="Times New Roman" w:cstheme="minorBidi"/>
                <w:iCs/>
                <w:sz w:val="18"/>
                <w:szCs w:val="18"/>
              </w:rPr>
              <w:t>jaunieviestu</w:t>
            </w:r>
            <w:proofErr w:type="spellEnd"/>
            <w:r w:rsidR="00BD2ACA" w:rsidRPr="00425814">
              <w:rPr>
                <w:rFonts w:ascii="Times New Roman" w:eastAsiaTheme="minorHAnsi" w:hAnsi="Times New Roman" w:cstheme="minorBidi"/>
                <w:iCs/>
                <w:sz w:val="18"/>
                <w:szCs w:val="18"/>
              </w:rPr>
              <w:t xml:space="preserve">  </w:t>
            </w:r>
            <w:r w:rsidR="00E30BAB" w:rsidRPr="00425814">
              <w:rPr>
                <w:rFonts w:ascii="Times New Roman" w:eastAsiaTheme="minorHAnsi" w:hAnsi="Times New Roman" w:cstheme="minorBidi"/>
                <w:iCs/>
                <w:sz w:val="18"/>
                <w:szCs w:val="18"/>
              </w:rPr>
              <w:t xml:space="preserve">integrāciju </w:t>
            </w:r>
            <w:r w:rsidR="00BD2ACA" w:rsidRPr="00425814">
              <w:rPr>
                <w:rFonts w:ascii="Times New Roman" w:eastAsiaTheme="minorHAnsi" w:hAnsi="Times New Roman" w:cstheme="minorBidi"/>
                <w:iCs/>
                <w:sz w:val="18"/>
                <w:szCs w:val="18"/>
              </w:rPr>
              <w:t xml:space="preserve">kopējā </w:t>
            </w:r>
            <w:proofErr w:type="spellStart"/>
            <w:r w:rsidR="0025034C" w:rsidRPr="00425814">
              <w:rPr>
                <w:rFonts w:ascii="Times New Roman" w:eastAsiaTheme="minorHAnsi" w:hAnsi="Times New Roman" w:cstheme="minorBidi"/>
                <w:iCs/>
                <w:sz w:val="18"/>
                <w:szCs w:val="18"/>
              </w:rPr>
              <w:t>intel</w:t>
            </w:r>
            <w:r w:rsidR="0025034C">
              <w:rPr>
                <w:rFonts w:ascii="Times New Roman" w:eastAsiaTheme="minorHAnsi" w:hAnsi="Times New Roman" w:cstheme="minorBidi"/>
                <w:iCs/>
                <w:sz w:val="18"/>
                <w:szCs w:val="18"/>
              </w:rPr>
              <w:t>ektisko</w:t>
            </w:r>
            <w:proofErr w:type="spellEnd"/>
            <w:r w:rsidR="0025034C" w:rsidRPr="00425814">
              <w:rPr>
                <w:rFonts w:ascii="Times New Roman" w:eastAsiaTheme="minorHAnsi" w:hAnsi="Times New Roman" w:cstheme="minorBidi"/>
                <w:iCs/>
                <w:sz w:val="18"/>
                <w:szCs w:val="18"/>
              </w:rPr>
              <w:t xml:space="preserve"> </w:t>
            </w:r>
            <w:r w:rsidR="00275166" w:rsidRPr="00425814">
              <w:rPr>
                <w:rFonts w:ascii="Times New Roman" w:eastAsiaTheme="minorHAnsi" w:hAnsi="Times New Roman" w:cstheme="minorBidi"/>
                <w:iCs/>
                <w:sz w:val="18"/>
                <w:szCs w:val="18"/>
              </w:rPr>
              <w:t>transporta sistēmu (</w:t>
            </w:r>
            <w:r w:rsidR="00BD2ACA" w:rsidRPr="00425814">
              <w:rPr>
                <w:rFonts w:ascii="Times New Roman" w:eastAsiaTheme="minorHAnsi" w:hAnsi="Times New Roman" w:cstheme="minorBidi"/>
                <w:iCs/>
                <w:sz w:val="18"/>
                <w:szCs w:val="18"/>
              </w:rPr>
              <w:t>ITS</w:t>
            </w:r>
            <w:r w:rsidR="00275166" w:rsidRPr="00425814">
              <w:rPr>
                <w:rFonts w:ascii="Times New Roman" w:eastAsiaTheme="minorHAnsi" w:hAnsi="Times New Roman" w:cstheme="minorBidi"/>
                <w:iCs/>
                <w:sz w:val="18"/>
                <w:szCs w:val="18"/>
              </w:rPr>
              <w:t>)</w:t>
            </w:r>
            <w:r w:rsidR="00BD2ACA" w:rsidRPr="00425814">
              <w:rPr>
                <w:rFonts w:ascii="Times New Roman" w:eastAsiaTheme="minorHAnsi" w:hAnsi="Times New Roman" w:cstheme="minorBidi"/>
                <w:iCs/>
                <w:sz w:val="18"/>
                <w:szCs w:val="18"/>
              </w:rPr>
              <w:t xml:space="preserve"> .</w:t>
            </w:r>
          </w:p>
          <w:p w14:paraId="679FE31F" w14:textId="495A4664" w:rsidR="001C6A76" w:rsidRPr="00425814" w:rsidRDefault="001C6A76" w:rsidP="00914A11">
            <w:pPr>
              <w:spacing w:after="0" w:line="240" w:lineRule="auto"/>
              <w:jc w:val="both"/>
              <w:rPr>
                <w:rFonts w:ascii="Times New Roman" w:eastAsiaTheme="minorHAnsi" w:hAnsi="Times New Roman" w:cstheme="minorBidi"/>
                <w:i/>
                <w:sz w:val="18"/>
                <w:szCs w:val="18"/>
              </w:rPr>
            </w:pPr>
          </w:p>
          <w:p w14:paraId="369C343E" w14:textId="79A0C946" w:rsidR="000F6666" w:rsidRPr="00425814" w:rsidRDefault="000F6666" w:rsidP="00914A11">
            <w:pPr>
              <w:spacing w:after="0" w:line="240" w:lineRule="auto"/>
              <w:jc w:val="both"/>
              <w:rPr>
                <w:rFonts w:ascii="Times New Roman" w:eastAsiaTheme="minorHAnsi" w:hAnsi="Times New Roman" w:cstheme="minorBidi"/>
                <w:sz w:val="18"/>
                <w:szCs w:val="18"/>
              </w:rPr>
            </w:pPr>
            <w:r w:rsidRPr="00425814">
              <w:rPr>
                <w:rFonts w:ascii="Times New Roman" w:eastAsiaTheme="minorHAnsi" w:hAnsi="Times New Roman" w:cstheme="minorBidi"/>
                <w:i/>
                <w:sz w:val="18"/>
                <w:szCs w:val="18"/>
              </w:rPr>
              <w:t xml:space="preserve">Datu avots: </w:t>
            </w:r>
            <w:r w:rsidRPr="00425814">
              <w:rPr>
                <w:rFonts w:ascii="Times New Roman" w:eastAsiaTheme="minorHAnsi" w:hAnsi="Times New Roman" w:cstheme="minorBidi"/>
                <w:sz w:val="18"/>
                <w:szCs w:val="18"/>
              </w:rPr>
              <w:t>Projekt</w:t>
            </w:r>
            <w:r w:rsidR="000D0A37" w:rsidRPr="00425814">
              <w:rPr>
                <w:rFonts w:ascii="Times New Roman" w:eastAsiaTheme="minorHAnsi" w:hAnsi="Times New Roman" w:cstheme="minorBidi"/>
                <w:sz w:val="18"/>
                <w:szCs w:val="18"/>
              </w:rPr>
              <w:t>a</w:t>
            </w:r>
            <w:r w:rsidRPr="00425814">
              <w:rPr>
                <w:rFonts w:ascii="Times New Roman" w:eastAsiaTheme="minorHAnsi" w:hAnsi="Times New Roman" w:cstheme="minorBidi"/>
                <w:sz w:val="18"/>
                <w:szCs w:val="18"/>
              </w:rPr>
              <w:t xml:space="preserve"> dati</w:t>
            </w:r>
          </w:p>
          <w:p w14:paraId="218D117F" w14:textId="77777777" w:rsidR="000F6666" w:rsidRPr="00425814" w:rsidRDefault="000F6666" w:rsidP="00914A11">
            <w:pPr>
              <w:spacing w:after="0" w:line="240" w:lineRule="auto"/>
              <w:jc w:val="both"/>
              <w:rPr>
                <w:rFonts w:ascii="Times New Roman" w:eastAsiaTheme="minorHAnsi" w:hAnsi="Times New Roman" w:cstheme="minorBidi"/>
                <w:i/>
                <w:sz w:val="18"/>
                <w:szCs w:val="18"/>
              </w:rPr>
            </w:pPr>
          </w:p>
          <w:p w14:paraId="19691CCC" w14:textId="77777777" w:rsidR="008B0AAF" w:rsidRPr="00425814" w:rsidRDefault="000F6666" w:rsidP="00914A11">
            <w:pPr>
              <w:spacing w:after="0" w:line="240" w:lineRule="auto"/>
              <w:jc w:val="both"/>
              <w:rPr>
                <w:rFonts w:ascii="Times New Roman" w:eastAsiaTheme="minorHAnsi" w:hAnsi="Times New Roman" w:cstheme="minorBidi"/>
                <w:i/>
                <w:sz w:val="18"/>
                <w:szCs w:val="18"/>
              </w:rPr>
            </w:pPr>
            <w:r w:rsidRPr="00425814">
              <w:rPr>
                <w:rFonts w:ascii="Times New Roman" w:eastAsiaTheme="minorHAnsi" w:hAnsi="Times New Roman" w:cstheme="minorBidi"/>
                <w:i/>
                <w:sz w:val="18"/>
                <w:szCs w:val="18"/>
              </w:rPr>
              <w:t>Apkopošanas biežums un ieguves metodoloģija:</w:t>
            </w:r>
          </w:p>
          <w:p w14:paraId="70826BE3" w14:textId="746F9836" w:rsidR="008B0AAF" w:rsidRPr="00425814" w:rsidRDefault="00BD2ACA" w:rsidP="008B0AAF">
            <w:pPr>
              <w:spacing w:after="0" w:line="240" w:lineRule="auto"/>
              <w:jc w:val="both"/>
              <w:rPr>
                <w:rFonts w:ascii="Times New Roman" w:eastAsiaTheme="minorHAnsi" w:hAnsi="Times New Roman" w:cstheme="minorBidi"/>
                <w:iCs/>
                <w:sz w:val="18"/>
                <w:szCs w:val="18"/>
              </w:rPr>
            </w:pPr>
            <w:r w:rsidRPr="00425814">
              <w:rPr>
                <w:rFonts w:ascii="Times New Roman" w:eastAsiaTheme="minorHAnsi" w:hAnsi="Times New Roman" w:cstheme="minorBidi"/>
                <w:iCs/>
                <w:sz w:val="18"/>
                <w:szCs w:val="18"/>
              </w:rPr>
              <w:t>P</w:t>
            </w:r>
            <w:r w:rsidR="008B0AAF" w:rsidRPr="00425814">
              <w:rPr>
                <w:rFonts w:ascii="Times New Roman" w:eastAsiaTheme="minorHAnsi" w:hAnsi="Times New Roman" w:cstheme="minorBidi"/>
                <w:iCs/>
                <w:sz w:val="18"/>
                <w:szCs w:val="18"/>
              </w:rPr>
              <w:t>rojekta īstenošanas noslēgumā</w:t>
            </w:r>
          </w:p>
          <w:p w14:paraId="174EB284" w14:textId="5671E2FE" w:rsidR="00E24137" w:rsidRPr="00425814" w:rsidRDefault="00E24137" w:rsidP="00914A11">
            <w:pPr>
              <w:spacing w:after="0" w:line="240" w:lineRule="auto"/>
              <w:jc w:val="both"/>
              <w:rPr>
                <w:rFonts w:ascii="Times New Roman" w:eastAsiaTheme="minorHAnsi" w:hAnsi="Times New Roman" w:cstheme="minorBidi"/>
                <w:sz w:val="18"/>
                <w:szCs w:val="18"/>
              </w:rPr>
            </w:pPr>
          </w:p>
          <w:p w14:paraId="7AAB4322" w14:textId="77777777" w:rsidR="00583487" w:rsidRPr="00425814" w:rsidRDefault="00583487" w:rsidP="00583487">
            <w:pPr>
              <w:spacing w:after="0" w:line="240" w:lineRule="auto"/>
              <w:jc w:val="both"/>
              <w:rPr>
                <w:rFonts w:ascii="Times New Roman" w:eastAsiaTheme="minorHAnsi" w:hAnsi="Times New Roman"/>
                <w:i/>
                <w:sz w:val="18"/>
                <w:szCs w:val="18"/>
              </w:rPr>
            </w:pPr>
            <w:r w:rsidRPr="00425814">
              <w:rPr>
                <w:rFonts w:ascii="Times New Roman" w:eastAsiaTheme="minorHAnsi" w:hAnsi="Times New Roman"/>
                <w:i/>
                <w:sz w:val="18"/>
                <w:szCs w:val="18"/>
              </w:rPr>
              <w:t>Darbība, kas liek uzskatīt mērķa vērtību par izpildītu:</w:t>
            </w:r>
          </w:p>
          <w:p w14:paraId="6F8230F7" w14:textId="49FAC2E3" w:rsidR="00BD2ACA" w:rsidRPr="00425814" w:rsidRDefault="00C802C1" w:rsidP="00676C95">
            <w:pPr>
              <w:spacing w:after="0" w:line="240" w:lineRule="auto"/>
              <w:jc w:val="both"/>
              <w:rPr>
                <w:rFonts w:ascii="Times New Roman" w:eastAsiaTheme="minorHAnsi" w:hAnsi="Times New Roman"/>
                <w:sz w:val="18"/>
                <w:szCs w:val="18"/>
              </w:rPr>
            </w:pPr>
            <w:r w:rsidRPr="00425814">
              <w:rPr>
                <w:rFonts w:ascii="Times New Roman" w:eastAsiaTheme="minorHAnsi" w:hAnsi="Times New Roman"/>
                <w:sz w:val="18"/>
                <w:szCs w:val="18"/>
              </w:rPr>
              <w:t>Ekspluatācijā nodot</w:t>
            </w:r>
            <w:r w:rsidR="00F840A7">
              <w:rPr>
                <w:rFonts w:ascii="Times New Roman" w:eastAsiaTheme="minorHAnsi" w:hAnsi="Times New Roman"/>
                <w:sz w:val="18"/>
                <w:szCs w:val="18"/>
              </w:rPr>
              <w:t>s</w:t>
            </w:r>
            <w:r w:rsidR="006E7A51">
              <w:rPr>
                <w:rFonts w:ascii="Times New Roman" w:eastAsiaTheme="minorHAnsi" w:hAnsi="Times New Roman"/>
                <w:sz w:val="18"/>
                <w:szCs w:val="18"/>
              </w:rPr>
              <w:t xml:space="preserve"> piekļuves </w:t>
            </w:r>
            <w:r w:rsidR="00F840A7">
              <w:rPr>
                <w:rFonts w:ascii="Times New Roman" w:eastAsiaTheme="minorHAnsi" w:hAnsi="Times New Roman"/>
                <w:sz w:val="18"/>
                <w:szCs w:val="18"/>
              </w:rPr>
              <w:t>punkts</w:t>
            </w:r>
            <w:r w:rsidRPr="00425814">
              <w:rPr>
                <w:rFonts w:ascii="Times New Roman" w:eastAsiaTheme="minorHAnsi" w:hAnsi="Times New Roman"/>
                <w:sz w:val="18"/>
                <w:szCs w:val="18"/>
              </w:rPr>
              <w:t>.</w:t>
            </w:r>
          </w:p>
          <w:p w14:paraId="0B8B77A6" w14:textId="77777777" w:rsidR="000F6666" w:rsidRPr="00425814" w:rsidRDefault="000F6666" w:rsidP="00914A11">
            <w:pPr>
              <w:spacing w:after="0" w:line="240" w:lineRule="auto"/>
              <w:jc w:val="both"/>
              <w:rPr>
                <w:rFonts w:ascii="Times New Roman" w:eastAsiaTheme="minorHAnsi" w:hAnsi="Times New Roman" w:cstheme="minorBidi"/>
                <w:i/>
                <w:sz w:val="18"/>
                <w:szCs w:val="18"/>
              </w:rPr>
            </w:pPr>
          </w:p>
          <w:p w14:paraId="0079C891" w14:textId="6F81F727" w:rsidR="000F6666" w:rsidRPr="00425814" w:rsidRDefault="000F6666" w:rsidP="00914A11">
            <w:pPr>
              <w:spacing w:after="0" w:line="240" w:lineRule="auto"/>
              <w:jc w:val="both"/>
              <w:rPr>
                <w:rFonts w:ascii="Times New Roman" w:eastAsiaTheme="minorHAnsi" w:hAnsi="Times New Roman" w:cstheme="minorBidi"/>
                <w:sz w:val="18"/>
                <w:szCs w:val="18"/>
              </w:rPr>
            </w:pPr>
            <w:r w:rsidRPr="00425814">
              <w:rPr>
                <w:rFonts w:ascii="Times New Roman" w:eastAsiaTheme="minorHAnsi" w:hAnsi="Times New Roman" w:cstheme="minorBidi"/>
                <w:i/>
                <w:sz w:val="18"/>
                <w:szCs w:val="18"/>
              </w:rPr>
              <w:t xml:space="preserve">Mērķis 2023: </w:t>
            </w:r>
            <w:r w:rsidR="00275166" w:rsidRPr="00425814">
              <w:rPr>
                <w:rFonts w:ascii="Times New Roman" w:eastAsiaTheme="minorHAnsi" w:hAnsi="Times New Roman" w:cstheme="minorBidi"/>
                <w:i/>
                <w:sz w:val="18"/>
                <w:szCs w:val="18"/>
              </w:rPr>
              <w:t>1</w:t>
            </w:r>
          </w:p>
          <w:p w14:paraId="5B100B10" w14:textId="77777777" w:rsidR="000F6666" w:rsidRPr="00425814" w:rsidRDefault="000F6666" w:rsidP="00914A11">
            <w:pPr>
              <w:spacing w:after="0" w:line="240" w:lineRule="auto"/>
              <w:jc w:val="both"/>
              <w:rPr>
                <w:rFonts w:ascii="Times New Roman" w:eastAsiaTheme="minorHAnsi" w:hAnsi="Times New Roman" w:cstheme="minorBidi"/>
                <w:i/>
                <w:sz w:val="18"/>
                <w:szCs w:val="18"/>
              </w:rPr>
            </w:pPr>
          </w:p>
          <w:p w14:paraId="11853AFC" w14:textId="7C39B3D5" w:rsidR="000F6666" w:rsidRPr="00425814" w:rsidRDefault="000F6666" w:rsidP="00914A11">
            <w:pPr>
              <w:spacing w:after="0" w:line="240" w:lineRule="auto"/>
              <w:jc w:val="both"/>
              <w:rPr>
                <w:rFonts w:ascii="Times New Roman" w:eastAsiaTheme="minorHAnsi" w:hAnsi="Times New Roman" w:cstheme="minorBidi"/>
                <w:i/>
                <w:sz w:val="18"/>
                <w:szCs w:val="18"/>
              </w:rPr>
            </w:pPr>
            <w:r w:rsidRPr="00425814">
              <w:rPr>
                <w:rFonts w:ascii="Times New Roman" w:eastAsiaTheme="minorHAnsi" w:hAnsi="Times New Roman" w:cstheme="minorBidi"/>
                <w:i/>
                <w:sz w:val="18"/>
                <w:szCs w:val="18"/>
              </w:rPr>
              <w:t>Mērķa vērtības noteikšanas principi/metodoloģija</w:t>
            </w:r>
            <w:r w:rsidR="008B0AAF" w:rsidRPr="00425814">
              <w:rPr>
                <w:rFonts w:ascii="Times New Roman" w:eastAsiaTheme="minorHAnsi" w:hAnsi="Times New Roman" w:cstheme="minorBidi"/>
                <w:i/>
                <w:sz w:val="18"/>
                <w:szCs w:val="18"/>
              </w:rPr>
              <w:t>:</w:t>
            </w:r>
          </w:p>
          <w:p w14:paraId="00C3A448" w14:textId="7208B101" w:rsidR="00045F02" w:rsidRDefault="00275166" w:rsidP="16A60C55">
            <w:pPr>
              <w:spacing w:after="0" w:line="240" w:lineRule="auto"/>
              <w:contextualSpacing/>
              <w:jc w:val="both"/>
              <w:rPr>
                <w:rFonts w:ascii="Times New Roman" w:eastAsiaTheme="minorEastAsia" w:hAnsi="Times New Roman"/>
                <w:sz w:val="18"/>
                <w:szCs w:val="18"/>
              </w:rPr>
            </w:pPr>
            <w:r w:rsidRPr="16A60C55">
              <w:rPr>
                <w:rFonts w:ascii="Times New Roman" w:eastAsiaTheme="minorEastAsia" w:hAnsi="Times New Roman"/>
                <w:sz w:val="18"/>
                <w:szCs w:val="18"/>
              </w:rPr>
              <w:t>2016. un 2017.gadā, pēc VAS “</w:t>
            </w:r>
            <w:r w:rsidR="729794C7" w:rsidRPr="16A60C55">
              <w:rPr>
                <w:rFonts w:ascii="Times New Roman" w:eastAsiaTheme="minorEastAsia" w:hAnsi="Times New Roman"/>
                <w:sz w:val="18"/>
                <w:szCs w:val="18"/>
              </w:rPr>
              <w:t>L</w:t>
            </w:r>
            <w:r w:rsidRPr="16A60C55">
              <w:rPr>
                <w:rFonts w:ascii="Times New Roman" w:eastAsiaTheme="minorEastAsia" w:hAnsi="Times New Roman"/>
                <w:sz w:val="18"/>
                <w:szCs w:val="18"/>
              </w:rPr>
              <w:t>at</w:t>
            </w:r>
            <w:r w:rsidR="00425814" w:rsidRPr="16A60C55">
              <w:rPr>
                <w:rFonts w:ascii="Times New Roman" w:eastAsiaTheme="minorEastAsia" w:hAnsi="Times New Roman"/>
                <w:sz w:val="18"/>
                <w:szCs w:val="18"/>
              </w:rPr>
              <w:t>vijas</w:t>
            </w:r>
            <w:r w:rsidRPr="16A60C55">
              <w:rPr>
                <w:rFonts w:ascii="Times New Roman" w:eastAsiaTheme="minorEastAsia" w:hAnsi="Times New Roman"/>
                <w:sz w:val="18"/>
                <w:szCs w:val="18"/>
              </w:rPr>
              <w:t xml:space="preserve"> Valsts ceļi”  pasūtījuma, tika veikta izpēte</w:t>
            </w:r>
            <w:r w:rsidR="00425814" w:rsidRPr="16A60C55">
              <w:rPr>
                <w:rFonts w:ascii="Times New Roman" w:eastAsiaTheme="minorEastAsia" w:hAnsi="Times New Roman"/>
                <w:sz w:val="18"/>
                <w:szCs w:val="18"/>
              </w:rPr>
              <w:t>,</w:t>
            </w:r>
            <w:r w:rsidRPr="16A60C55">
              <w:rPr>
                <w:rFonts w:ascii="Times New Roman" w:eastAsiaTheme="minorEastAsia" w:hAnsi="Times New Roman"/>
                <w:sz w:val="18"/>
                <w:szCs w:val="18"/>
              </w:rPr>
              <w:t xml:space="preserve"> lai apzinātu pašreizējo ITS attīstības situāciju Latvijā un sniegtu pamatotas rekomendācijas nacionālas nozīmes ITS pakalpojumu saskaņotai ieviešanai un sasaistei ar citiem transporta veidiem, kā arī identificētu secīgi, kādus projektus ir nepieciešams veikt koordinētai ITS attīstībai Latvijā (izstrādātu ieteicamo nacionālo ietvaru)</w:t>
            </w:r>
            <w:r w:rsidR="00EF2223" w:rsidRPr="16A60C55">
              <w:rPr>
                <w:rFonts w:ascii="Times New Roman" w:eastAsiaTheme="minorEastAsia" w:hAnsi="Times New Roman"/>
                <w:sz w:val="18"/>
                <w:szCs w:val="18"/>
              </w:rPr>
              <w:t xml:space="preserve">, ņemot vērā Latvijas pienākumu izpildīt ITS </w:t>
            </w:r>
            <w:r w:rsidR="00EF2223" w:rsidRPr="16A60C55">
              <w:rPr>
                <w:rFonts w:ascii="Times New Roman" w:eastAsiaTheme="minorEastAsia" w:hAnsi="Times New Roman"/>
                <w:sz w:val="18"/>
                <w:szCs w:val="18"/>
              </w:rPr>
              <w:lastRenderedPageBreak/>
              <w:t>Direktīvas prasības</w:t>
            </w:r>
            <w:r w:rsidR="005C026E" w:rsidRPr="16A60C55">
              <w:rPr>
                <w:rStyle w:val="FootnoteReference"/>
                <w:rFonts w:ascii="Times New Roman" w:eastAsiaTheme="minorEastAsia" w:hAnsi="Times New Roman"/>
                <w:sz w:val="18"/>
                <w:szCs w:val="18"/>
              </w:rPr>
              <w:footnoteReference w:id="4"/>
            </w:r>
            <w:r w:rsidR="00EF2223" w:rsidRPr="16A60C55">
              <w:rPr>
                <w:rFonts w:ascii="Times New Roman" w:eastAsiaTheme="minorEastAsia" w:hAnsi="Times New Roman"/>
                <w:sz w:val="18"/>
                <w:szCs w:val="18"/>
              </w:rPr>
              <w:t>, kā arī no ITS deleģētajām regulām izrietošās prasības.</w:t>
            </w:r>
            <w:r w:rsidR="00425814" w:rsidRPr="16A60C55">
              <w:rPr>
                <w:rFonts w:ascii="Times New Roman" w:eastAsiaTheme="minorEastAsia" w:hAnsi="Times New Roman"/>
                <w:sz w:val="18"/>
                <w:szCs w:val="18"/>
              </w:rPr>
              <w:t xml:space="preserve"> </w:t>
            </w:r>
          </w:p>
          <w:p w14:paraId="02D1A376" w14:textId="31681392" w:rsidR="00EF2223" w:rsidRPr="00425814" w:rsidRDefault="00275166" w:rsidP="00275166">
            <w:pPr>
              <w:spacing w:after="0" w:line="240" w:lineRule="auto"/>
              <w:contextualSpacing/>
              <w:jc w:val="both"/>
              <w:rPr>
                <w:rFonts w:ascii="Times New Roman" w:eastAsiaTheme="minorHAnsi" w:hAnsi="Times New Roman"/>
                <w:sz w:val="18"/>
                <w:szCs w:val="18"/>
              </w:rPr>
            </w:pPr>
            <w:r w:rsidRPr="00425814">
              <w:rPr>
                <w:rFonts w:ascii="Times New Roman" w:eastAsiaTheme="minorHAnsi" w:hAnsi="Times New Roman"/>
                <w:sz w:val="18"/>
                <w:szCs w:val="18"/>
              </w:rPr>
              <w:t>Izpētes ietvaros tika izstrādāt</w:t>
            </w:r>
            <w:r w:rsidR="002F6E5B" w:rsidRPr="00425814">
              <w:rPr>
                <w:rFonts w:ascii="Times New Roman" w:eastAsiaTheme="minorHAnsi" w:hAnsi="Times New Roman"/>
                <w:sz w:val="18"/>
                <w:szCs w:val="18"/>
              </w:rPr>
              <w:t>s</w:t>
            </w:r>
            <w:r w:rsidRPr="00425814">
              <w:rPr>
                <w:rFonts w:ascii="Times New Roman" w:eastAsiaTheme="minorHAnsi" w:hAnsi="Times New Roman"/>
                <w:sz w:val="18"/>
                <w:szCs w:val="18"/>
              </w:rPr>
              <w:t xml:space="preserve"> Latvijas ITS stratēģijas koncepts</w:t>
            </w:r>
            <w:r w:rsidR="00EF2223" w:rsidRPr="00425814">
              <w:rPr>
                <w:rFonts w:ascii="Times New Roman" w:eastAsiaTheme="minorHAnsi" w:hAnsi="Times New Roman"/>
                <w:sz w:val="18"/>
                <w:szCs w:val="18"/>
              </w:rPr>
              <w:t>,</w:t>
            </w:r>
            <w:r w:rsidR="002F6E5B" w:rsidRPr="00425814">
              <w:rPr>
                <w:rFonts w:ascii="Times New Roman" w:eastAsiaTheme="minorHAnsi" w:hAnsi="Times New Roman"/>
                <w:sz w:val="18"/>
                <w:szCs w:val="18"/>
              </w:rPr>
              <w:t xml:space="preserve"> </w:t>
            </w:r>
            <w:r w:rsidR="00EF2223" w:rsidRPr="00425814">
              <w:rPr>
                <w:rFonts w:ascii="Times New Roman" w:eastAsiaTheme="minorHAnsi" w:hAnsi="Times New Roman"/>
                <w:sz w:val="18"/>
                <w:szCs w:val="18"/>
              </w:rPr>
              <w:t xml:space="preserve">kas identificē prioritāri ieviešamos ITS projektus. </w:t>
            </w:r>
            <w:r w:rsidR="002F6E5B" w:rsidRPr="00425814">
              <w:rPr>
                <w:rFonts w:ascii="Times New Roman" w:eastAsiaTheme="minorHAnsi" w:hAnsi="Times New Roman"/>
                <w:sz w:val="18"/>
                <w:szCs w:val="18"/>
              </w:rPr>
              <w:t>Kā ITS projekts ar viss augstāko prioritāti, kas ir arī visu pārējo projektu pamatā, tika izvirzīts projekts t</w:t>
            </w:r>
            <w:r w:rsidR="00EF2223" w:rsidRPr="00425814">
              <w:rPr>
                <w:rFonts w:ascii="Times New Roman" w:eastAsiaTheme="minorHAnsi" w:hAnsi="Times New Roman"/>
                <w:sz w:val="18"/>
                <w:szCs w:val="18"/>
              </w:rPr>
              <w:t>ransporta nozares informācijas nacionālā piekļuves punkta izveide</w:t>
            </w:r>
            <w:r w:rsidR="002F6E5B" w:rsidRPr="00425814">
              <w:rPr>
                <w:rFonts w:ascii="Times New Roman" w:eastAsiaTheme="minorHAnsi" w:hAnsi="Times New Roman"/>
                <w:sz w:val="18"/>
                <w:szCs w:val="18"/>
              </w:rPr>
              <w:t>.</w:t>
            </w:r>
          </w:p>
          <w:p w14:paraId="15A1C0F0" w14:textId="52CC384F" w:rsidR="001574BC" w:rsidRPr="001574BC" w:rsidRDefault="001574BC" w:rsidP="001574BC">
            <w:pPr>
              <w:spacing w:after="0" w:line="240" w:lineRule="auto"/>
              <w:contextualSpacing/>
              <w:jc w:val="both"/>
              <w:rPr>
                <w:rFonts w:ascii="Times New Roman" w:eastAsiaTheme="minorHAnsi" w:hAnsi="Times New Roman"/>
                <w:sz w:val="18"/>
                <w:szCs w:val="18"/>
              </w:rPr>
            </w:pPr>
            <w:r w:rsidRPr="001574BC">
              <w:rPr>
                <w:rFonts w:ascii="Times New Roman" w:eastAsiaTheme="minorHAnsi" w:hAnsi="Times New Roman"/>
                <w:sz w:val="18"/>
                <w:szCs w:val="18"/>
              </w:rPr>
              <w:t xml:space="preserve">ITS Direktīva ir galvenais normatīvais instruments ITS ieviešanai ES, kas īpašu uzmanību pievērš ITS ieviešanai ES dalībvalstīs un nosaka vispārējos apstākļus vienotas ITS ieviešanai visā ES. </w:t>
            </w:r>
          </w:p>
          <w:p w14:paraId="797376A6" w14:textId="77777777" w:rsidR="001574BC" w:rsidRPr="001574BC" w:rsidRDefault="001574BC" w:rsidP="001574BC">
            <w:pPr>
              <w:spacing w:after="0" w:line="240" w:lineRule="auto"/>
              <w:contextualSpacing/>
              <w:jc w:val="both"/>
              <w:rPr>
                <w:rFonts w:ascii="Times New Roman" w:eastAsiaTheme="minorHAnsi" w:hAnsi="Times New Roman"/>
                <w:sz w:val="18"/>
                <w:szCs w:val="18"/>
              </w:rPr>
            </w:pPr>
            <w:r w:rsidRPr="001574BC">
              <w:rPr>
                <w:rFonts w:ascii="Times New Roman" w:eastAsiaTheme="minorHAnsi" w:hAnsi="Times New Roman"/>
                <w:sz w:val="18"/>
                <w:szCs w:val="18"/>
              </w:rPr>
              <w:t>ITS Direktīva nosaka, ka dalībvalstis veic vajadzīgos pasākumus, lai nodrošinātu, ka specifikācijas, ko EK pieņēmusi saskaņā ar šo direktīvu un saskaņā ar šīs direktīvas izklāstītajiem principiem, piemēro ITS lietotnēm un pakalpojumiem, kad tie tiek ieviesti. Tajā paša laikā dalībvalstīm tiek atstātas tiesības lemt par šo lietotņu un pakalpojumu ieviešanu savā teritorijā (ITS Direktīvas 5.pants).</w:t>
            </w:r>
          </w:p>
          <w:p w14:paraId="3C420089" w14:textId="69CAEEB2" w:rsidR="001A4CD1" w:rsidRPr="00425814" w:rsidRDefault="004F3AC9" w:rsidP="16A60C55">
            <w:pPr>
              <w:spacing w:after="0" w:line="240" w:lineRule="auto"/>
              <w:contextualSpacing/>
              <w:jc w:val="both"/>
              <w:rPr>
                <w:rFonts w:ascii="Times New Roman" w:eastAsiaTheme="minorEastAsia" w:hAnsi="Times New Roman"/>
                <w:sz w:val="18"/>
                <w:szCs w:val="18"/>
              </w:rPr>
            </w:pPr>
            <w:r w:rsidRPr="16A60C55">
              <w:rPr>
                <w:rFonts w:ascii="Times New Roman" w:eastAsiaTheme="minorEastAsia" w:hAnsi="Times New Roman"/>
                <w:sz w:val="18"/>
                <w:szCs w:val="18"/>
              </w:rPr>
              <w:t xml:space="preserve">NPP izveide nodrošinās satiksmes, autoceļu, stāvlaukumu, multimodālu maršrutu un ar satiksmes drošību saistītu datu pieejamību un </w:t>
            </w:r>
            <w:proofErr w:type="spellStart"/>
            <w:r w:rsidRPr="16A60C55">
              <w:rPr>
                <w:rFonts w:ascii="Times New Roman" w:eastAsiaTheme="minorEastAsia" w:hAnsi="Times New Roman"/>
                <w:sz w:val="18"/>
                <w:szCs w:val="18"/>
              </w:rPr>
              <w:t>atkalizmantošanu</w:t>
            </w:r>
            <w:proofErr w:type="spellEnd"/>
            <w:r w:rsidRPr="16A60C55">
              <w:rPr>
                <w:rFonts w:ascii="Times New Roman" w:eastAsiaTheme="minorEastAsia" w:hAnsi="Times New Roman"/>
                <w:sz w:val="18"/>
                <w:szCs w:val="18"/>
              </w:rPr>
              <w:t>, kas savukārt šajās jomās veicinās ITS lietotņu un pakalpojumu attīstību. ITS lietotnes un pakalpojumi  uzlabo ceļu satiksmes drošību, braukšanas komfortu, samazina ceļu satiksmes dalībnieku laiku ceļā, veido autotransporta ekspluatācijas izmaksu ietaupījumu, samazina siltumnīcas efektu izraisošo gāzu emisijas un gaisa piesārņojumu, samazina negatīvo ietekmi uz klimatu.</w:t>
            </w:r>
            <w:r w:rsidR="7BB3821C" w:rsidRPr="16A60C55">
              <w:rPr>
                <w:rFonts w:ascii="Times New Roman" w:eastAsiaTheme="minorEastAsia" w:hAnsi="Times New Roman"/>
                <w:sz w:val="18"/>
                <w:szCs w:val="18"/>
              </w:rPr>
              <w:t xml:space="preserve"> </w:t>
            </w:r>
            <w:r w:rsidR="001A4CD1" w:rsidRPr="16A60C55">
              <w:rPr>
                <w:rFonts w:ascii="Times New Roman" w:eastAsiaTheme="minorEastAsia" w:hAnsi="Times New Roman"/>
                <w:sz w:val="18"/>
                <w:szCs w:val="18"/>
              </w:rPr>
              <w:t xml:space="preserve">Vispārīga informācijas un sakaru tehnoloģiju izmantošana </w:t>
            </w:r>
            <w:r w:rsidR="001A4CD1" w:rsidRPr="16A60C55">
              <w:rPr>
                <w:rFonts w:ascii="Times New Roman" w:eastAsiaTheme="minorEastAsia" w:hAnsi="Times New Roman"/>
                <w:sz w:val="18"/>
                <w:szCs w:val="18"/>
              </w:rPr>
              <w:lastRenderedPageBreak/>
              <w:t xml:space="preserve">autotransporta nozarē un tās </w:t>
            </w:r>
            <w:proofErr w:type="spellStart"/>
            <w:r w:rsidR="001A4CD1" w:rsidRPr="16A60C55">
              <w:rPr>
                <w:rFonts w:ascii="Times New Roman" w:eastAsiaTheme="minorEastAsia" w:hAnsi="Times New Roman"/>
                <w:sz w:val="18"/>
                <w:szCs w:val="18"/>
              </w:rPr>
              <w:t>saskarnēs</w:t>
            </w:r>
            <w:proofErr w:type="spellEnd"/>
            <w:r w:rsidR="001A4CD1" w:rsidRPr="16A60C55">
              <w:rPr>
                <w:rFonts w:ascii="Times New Roman" w:eastAsiaTheme="minorEastAsia" w:hAnsi="Times New Roman"/>
                <w:sz w:val="18"/>
                <w:szCs w:val="18"/>
              </w:rPr>
              <w:t xml:space="preserve"> ar citiem transporta veidiem būs ievērojams ieguldījums, kas ļaus uzlabot vides situāciju, efektivitāti, arī energoefektivitāti, autotransporta drošumu un drošību, tostarp bīstamu preču pārvadāšanu, sabiedrības drošību un pasažieru un kravu mobilitāti, vienlaikus nodrošinot iekšējā tirgus darbību, kā arī paaugstinātu konkurētspējas un nodarbinātības līmeni.</w:t>
            </w:r>
          </w:p>
          <w:p w14:paraId="4CB4DD3A" w14:textId="77777777" w:rsidR="00275166" w:rsidRPr="00425814" w:rsidRDefault="00275166" w:rsidP="00914A11">
            <w:pPr>
              <w:spacing w:after="0" w:line="240" w:lineRule="auto"/>
              <w:contextualSpacing/>
              <w:jc w:val="both"/>
              <w:rPr>
                <w:rFonts w:ascii="Times New Roman" w:eastAsiaTheme="minorHAnsi" w:hAnsi="Times New Roman" w:cstheme="minorBidi"/>
                <w:sz w:val="18"/>
                <w:szCs w:val="18"/>
              </w:rPr>
            </w:pPr>
          </w:p>
          <w:p w14:paraId="16795459" w14:textId="151D826B" w:rsidR="000F6666" w:rsidRPr="00425814" w:rsidRDefault="000F6666" w:rsidP="00546D9F">
            <w:pPr>
              <w:spacing w:after="0" w:line="240" w:lineRule="auto"/>
              <w:jc w:val="both"/>
              <w:rPr>
                <w:rFonts w:ascii="Times New Roman" w:eastAsiaTheme="minorHAnsi" w:hAnsi="Times New Roman" w:cstheme="minorBidi"/>
                <w:sz w:val="18"/>
                <w:szCs w:val="18"/>
              </w:rPr>
            </w:pPr>
            <w:r w:rsidRPr="00425814">
              <w:rPr>
                <w:rFonts w:ascii="Times New Roman" w:eastAsiaTheme="minorHAnsi" w:hAnsi="Times New Roman" w:cstheme="minorBidi"/>
                <w:i/>
                <w:sz w:val="18"/>
                <w:szCs w:val="18"/>
              </w:rPr>
              <w:t xml:space="preserve">Iznākuma rādītāja sasniegšanai paredzētais finansējums: </w:t>
            </w:r>
            <w:r w:rsidR="006521DB" w:rsidRPr="00425814">
              <w:rPr>
                <w:rFonts w:ascii="Times New Roman" w:eastAsiaTheme="minorHAnsi" w:hAnsi="Times New Roman" w:cstheme="minorBidi"/>
                <w:sz w:val="18"/>
                <w:szCs w:val="18"/>
              </w:rPr>
              <w:t>5 882 353</w:t>
            </w:r>
            <w:r w:rsidR="00546D9F" w:rsidRPr="00425814">
              <w:rPr>
                <w:rFonts w:ascii="Times New Roman" w:eastAsiaTheme="minorHAnsi" w:hAnsi="Times New Roman" w:cstheme="minorBidi"/>
                <w:sz w:val="18"/>
                <w:szCs w:val="18"/>
              </w:rPr>
              <w:t xml:space="preserve"> EUR</w:t>
            </w:r>
          </w:p>
          <w:p w14:paraId="04D8DC34" w14:textId="26896509" w:rsidR="00431220" w:rsidRPr="00425814" w:rsidRDefault="00431220" w:rsidP="009B3D2C">
            <w:pPr>
              <w:spacing w:after="0" w:line="240" w:lineRule="auto"/>
              <w:jc w:val="both"/>
              <w:rPr>
                <w:rFonts w:ascii="Times New Roman" w:eastAsiaTheme="minorHAnsi" w:hAnsi="Times New Roman" w:cstheme="minorBidi"/>
                <w:sz w:val="18"/>
                <w:szCs w:val="18"/>
              </w:rPr>
            </w:pPr>
          </w:p>
        </w:tc>
        <w:tc>
          <w:tcPr>
            <w:tcW w:w="2612" w:type="dxa"/>
          </w:tcPr>
          <w:p w14:paraId="0E845BFC" w14:textId="0B66D87A" w:rsidR="000F6666" w:rsidRPr="00255239" w:rsidRDefault="000F6666" w:rsidP="00425814">
            <w:pPr>
              <w:spacing w:after="0" w:line="240" w:lineRule="auto"/>
              <w:jc w:val="both"/>
              <w:rPr>
                <w:rFonts w:ascii="Times New Roman" w:eastAsiaTheme="minorHAnsi" w:hAnsi="Times New Roman" w:cstheme="minorBidi"/>
                <w:i/>
                <w:sz w:val="18"/>
                <w:szCs w:val="18"/>
              </w:rPr>
            </w:pPr>
            <w:r w:rsidRPr="00255239">
              <w:rPr>
                <w:rFonts w:ascii="Times New Roman" w:eastAsiaTheme="minorHAnsi" w:hAnsi="Times New Roman" w:cstheme="minorBidi"/>
                <w:i/>
                <w:sz w:val="18"/>
                <w:szCs w:val="18"/>
              </w:rPr>
              <w:lastRenderedPageBreak/>
              <w:t>Starpposma vērtība 2018.</w:t>
            </w:r>
            <w:r w:rsidR="009F1ACC">
              <w:t> </w:t>
            </w:r>
            <w:r w:rsidRPr="00255239">
              <w:rPr>
                <w:rFonts w:ascii="Times New Roman" w:eastAsiaTheme="minorHAnsi" w:hAnsi="Times New Roman" w:cstheme="minorBidi"/>
                <w:i/>
                <w:sz w:val="18"/>
                <w:szCs w:val="18"/>
              </w:rPr>
              <w:t>gadam:</w:t>
            </w:r>
          </w:p>
          <w:p w14:paraId="7D96DBC3" w14:textId="12BE87F7" w:rsidR="00C27C65" w:rsidRDefault="00137636" w:rsidP="00425814">
            <w:pPr>
              <w:spacing w:after="0" w:line="240" w:lineRule="auto"/>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n/a</w:t>
            </w:r>
          </w:p>
          <w:p w14:paraId="1898F25A" w14:textId="77777777" w:rsidR="00FD7EA6" w:rsidRPr="00803BA3" w:rsidRDefault="00FD7EA6" w:rsidP="00914A11">
            <w:pPr>
              <w:spacing w:after="0" w:line="240" w:lineRule="auto"/>
              <w:jc w:val="both"/>
              <w:rPr>
                <w:rFonts w:ascii="Times New Roman" w:eastAsiaTheme="minorHAnsi" w:hAnsi="Times New Roman" w:cstheme="minorBidi"/>
                <w:sz w:val="18"/>
                <w:szCs w:val="18"/>
              </w:rPr>
            </w:pPr>
          </w:p>
          <w:p w14:paraId="2C1A9882" w14:textId="1A78A64A" w:rsidR="000F6666" w:rsidRPr="00255239" w:rsidRDefault="000F666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Mērķ</w:t>
            </w:r>
            <w:r w:rsidR="006A44E5" w:rsidRPr="00255239">
              <w:rPr>
                <w:rFonts w:ascii="Times New Roman" w:eastAsiaTheme="minorHAnsi" w:hAnsi="Times New Roman" w:cstheme="minorBidi"/>
                <w:i/>
                <w:sz w:val="18"/>
                <w:szCs w:val="18"/>
              </w:rPr>
              <w:t>is 2023. gadam (vienāds ar  100</w:t>
            </w:r>
            <w:r w:rsidRPr="00255239">
              <w:rPr>
                <w:rFonts w:ascii="Times New Roman" w:eastAsiaTheme="minorHAnsi" w:hAnsi="Times New Roman" w:cstheme="minorBidi"/>
                <w:i/>
                <w:sz w:val="18"/>
                <w:szCs w:val="18"/>
              </w:rPr>
              <w:t xml:space="preserve">% no SAM paredzētā kopējā finansējuma): </w:t>
            </w:r>
            <w:r w:rsidR="006521DB">
              <w:rPr>
                <w:rFonts w:ascii="Times New Roman" w:eastAsiaTheme="minorHAnsi" w:hAnsi="Times New Roman" w:cstheme="minorBidi"/>
                <w:sz w:val="18"/>
                <w:szCs w:val="18"/>
              </w:rPr>
              <w:t>5 882 353</w:t>
            </w:r>
            <w:r w:rsidR="00B40CEB">
              <w:rPr>
                <w:rFonts w:ascii="Times New Roman" w:eastAsiaTheme="minorHAnsi" w:hAnsi="Times New Roman" w:cstheme="minorBidi"/>
                <w:sz w:val="18"/>
                <w:szCs w:val="18"/>
              </w:rPr>
              <w:t xml:space="preserve"> </w:t>
            </w:r>
            <w:r w:rsidR="00D81190" w:rsidRPr="00255239">
              <w:rPr>
                <w:rFonts w:ascii="Times New Roman" w:eastAsiaTheme="minorHAnsi" w:hAnsi="Times New Roman" w:cstheme="minorBidi"/>
                <w:sz w:val="18"/>
                <w:szCs w:val="18"/>
              </w:rPr>
              <w:t xml:space="preserve"> EUR</w:t>
            </w:r>
          </w:p>
          <w:p w14:paraId="13597099"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694147FD" w14:textId="252EBC74" w:rsidR="00C80FEE" w:rsidRPr="00803BA3" w:rsidRDefault="00C80FEE" w:rsidP="00137636">
            <w:pPr>
              <w:spacing w:after="0" w:line="240" w:lineRule="auto"/>
              <w:jc w:val="both"/>
              <w:rPr>
                <w:rFonts w:ascii="Times New Roman" w:eastAsiaTheme="minorHAnsi" w:hAnsi="Times New Roman" w:cstheme="minorBidi"/>
                <w:sz w:val="18"/>
                <w:szCs w:val="18"/>
              </w:rPr>
            </w:pPr>
          </w:p>
        </w:tc>
      </w:tr>
    </w:tbl>
    <w:p w14:paraId="58DE37E1" w14:textId="280B14AD" w:rsidR="00FA549B" w:rsidRPr="00255239" w:rsidRDefault="00FA549B">
      <w:pPr>
        <w:rPr>
          <w:sz w:val="18"/>
          <w:szCs w:val="18"/>
        </w:rPr>
      </w:pPr>
    </w:p>
    <w:sectPr w:rsidR="00FA549B" w:rsidRPr="00255239" w:rsidSect="00653227">
      <w:headerReference w:type="default" r:id="rId8"/>
      <w:footerReference w:type="default" r:id="rId9"/>
      <w:pgSz w:w="16838" w:h="11906" w:orient="landscape"/>
      <w:pgMar w:top="709" w:right="1440" w:bottom="14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CC1D9" w14:textId="77777777" w:rsidR="005C4313" w:rsidRDefault="005C4313" w:rsidP="000F6666">
      <w:pPr>
        <w:spacing w:after="0" w:line="240" w:lineRule="auto"/>
      </w:pPr>
      <w:r>
        <w:separator/>
      </w:r>
    </w:p>
  </w:endnote>
  <w:endnote w:type="continuationSeparator" w:id="0">
    <w:p w14:paraId="032B39A7" w14:textId="77777777" w:rsidR="005C4313" w:rsidRDefault="005C4313" w:rsidP="000F6666">
      <w:pPr>
        <w:spacing w:after="0" w:line="240" w:lineRule="auto"/>
      </w:pPr>
      <w:r>
        <w:continuationSeparator/>
      </w:r>
    </w:p>
  </w:endnote>
  <w:endnote w:type="continuationNotice" w:id="1">
    <w:p w14:paraId="006A38F8" w14:textId="77777777" w:rsidR="005C4313" w:rsidRDefault="005C43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678F3" w14:textId="77777777" w:rsidR="00AA25D7" w:rsidRDefault="00AA25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2DD04" w14:textId="77777777" w:rsidR="005C4313" w:rsidRDefault="005C4313" w:rsidP="000F6666">
      <w:pPr>
        <w:spacing w:after="0" w:line="240" w:lineRule="auto"/>
      </w:pPr>
      <w:r>
        <w:separator/>
      </w:r>
    </w:p>
  </w:footnote>
  <w:footnote w:type="continuationSeparator" w:id="0">
    <w:p w14:paraId="417455EF" w14:textId="77777777" w:rsidR="005C4313" w:rsidRDefault="005C4313" w:rsidP="000F6666">
      <w:pPr>
        <w:spacing w:after="0" w:line="240" w:lineRule="auto"/>
      </w:pPr>
      <w:r>
        <w:continuationSeparator/>
      </w:r>
    </w:p>
  </w:footnote>
  <w:footnote w:type="continuationNotice" w:id="1">
    <w:p w14:paraId="660B373B" w14:textId="77777777" w:rsidR="005C4313" w:rsidRDefault="005C4313">
      <w:pPr>
        <w:spacing w:after="0" w:line="240" w:lineRule="auto"/>
      </w:pPr>
    </w:p>
  </w:footnote>
  <w:footnote w:id="2">
    <w:p w14:paraId="7A615C3E" w14:textId="18A7078B" w:rsidR="00234AA7" w:rsidRDefault="00234AA7" w:rsidP="00234AA7">
      <w:pPr>
        <w:pStyle w:val="FootnoteText"/>
        <w:jc w:val="both"/>
      </w:pPr>
      <w:r>
        <w:rPr>
          <w:rStyle w:val="FootnoteReference"/>
        </w:rPr>
        <w:footnoteRef/>
      </w:r>
      <w:r>
        <w:t xml:space="preserve"> </w:t>
      </w:r>
      <w:r w:rsidR="00563DC0" w:rsidRPr="004045F1">
        <w:rPr>
          <w:rFonts w:ascii="Times New Roman" w:hAnsi="Times New Roman"/>
          <w:sz w:val="18"/>
          <w:szCs w:val="18"/>
        </w:rPr>
        <w:t xml:space="preserve">Finanšu rādītāju mērvienība - </w:t>
      </w:r>
      <w:r w:rsidR="00563DC0" w:rsidRPr="00B45BF9">
        <w:rPr>
          <w:rFonts w:ascii="Times New Roman" w:hAnsi="Times New Roman"/>
          <w:i/>
          <w:sz w:val="18"/>
          <w:szCs w:val="18"/>
        </w:rPr>
        <w:t>Starpposma vērtība 2018. gadam ir</w:t>
      </w:r>
      <w:r w:rsidR="00563DC0" w:rsidRPr="00B45BF9">
        <w:rPr>
          <w:rFonts w:ascii="Times New Roman" w:hAnsi="Times New Roman"/>
          <w:sz w:val="18"/>
          <w:szCs w:val="18"/>
        </w:rPr>
        <w:t xml:space="preserve"> </w:t>
      </w:r>
      <w:r w:rsidR="00563DC0" w:rsidRPr="004045F1">
        <w:rPr>
          <w:rFonts w:ascii="Times New Roman" w:hAnsi="Times New Roman"/>
          <w:i/>
          <w:sz w:val="18"/>
          <w:szCs w:val="18"/>
        </w:rPr>
        <w:t>attiecināmie izdevumi EUR  sertificējošās iestādes uzskaites sistēmā</w:t>
      </w:r>
      <w:r w:rsidR="00563DC0">
        <w:rPr>
          <w:rFonts w:ascii="Times New Roman" w:hAnsi="Times New Roman"/>
          <w:i/>
          <w:sz w:val="18"/>
          <w:szCs w:val="18"/>
        </w:rPr>
        <w:t xml:space="preserve">, </w:t>
      </w:r>
      <w:r w:rsidR="00563DC0" w:rsidRPr="00F85F30">
        <w:rPr>
          <w:rFonts w:ascii="Times New Roman" w:hAnsi="Times New Roman"/>
          <w:i/>
          <w:sz w:val="18"/>
          <w:szCs w:val="18"/>
        </w:rPr>
        <w:t>līdz 30.06.2019. sertificētie izdevumi, kas finansējuma saņēmējiem radušies līdz 31.12.2018.</w:t>
      </w:r>
      <w:r w:rsidR="00563DC0" w:rsidRPr="004045F1">
        <w:rPr>
          <w:rFonts w:ascii="Times New Roman" w:hAnsi="Times New Roman"/>
          <w:i/>
          <w:sz w:val="18"/>
          <w:szCs w:val="18"/>
        </w:rPr>
        <w:t xml:space="preserve"> Starpposma vērtības noteikšanā nedrīkst iekļaut snieguma rezerves apjomu 6 %, kamēr mērķis nosakāms iekļaujot rezerves apjomu.</w:t>
      </w:r>
    </w:p>
  </w:footnote>
  <w:footnote w:id="3">
    <w:p w14:paraId="482B91FB" w14:textId="2F5F3AC7" w:rsidR="008435A2" w:rsidRPr="006900B7" w:rsidRDefault="008435A2" w:rsidP="006900B7">
      <w:pPr>
        <w:pStyle w:val="FootnoteText"/>
        <w:jc w:val="both"/>
        <w:rPr>
          <w:rFonts w:ascii="Times New Roman" w:hAnsi="Times New Roman"/>
        </w:rPr>
      </w:pPr>
      <w:r w:rsidRPr="00DE0B1A">
        <w:rPr>
          <w:rStyle w:val="FootnoteReference"/>
        </w:rPr>
        <w:footnoteRef/>
      </w:r>
      <w:r w:rsidRPr="00DE0B1A">
        <w:t xml:space="preserve"> </w:t>
      </w:r>
      <w:r w:rsidR="00DE0B1A" w:rsidRPr="00BF6E74">
        <w:rPr>
          <w:rFonts w:ascii="Times New Roman" w:hAnsi="Times New Roman"/>
        </w:rPr>
        <w:t xml:space="preserve">Ministru kabineta 2020. gada 17. jūlija </w:t>
      </w:r>
      <w:r w:rsidR="00DE0B1A" w:rsidRPr="006900B7">
        <w:rPr>
          <w:rFonts w:ascii="Times New Roman" w:hAnsi="Times New Roman"/>
        </w:rPr>
        <w:t xml:space="preserve">rīkojums Nr. 396 “Par konceptuālo ziņojumu "Par </w:t>
      </w:r>
      <w:proofErr w:type="spellStart"/>
      <w:r w:rsidR="00DE0B1A" w:rsidRPr="006900B7">
        <w:rPr>
          <w:rFonts w:ascii="Times New Roman" w:hAnsi="Times New Roman"/>
        </w:rPr>
        <w:t>intelektisko</w:t>
      </w:r>
      <w:proofErr w:type="spellEnd"/>
      <w:r w:rsidR="00DE0B1A" w:rsidRPr="006900B7">
        <w:rPr>
          <w:rFonts w:ascii="Times New Roman" w:hAnsi="Times New Roman"/>
        </w:rPr>
        <w:t xml:space="preserve"> transporta sistēmu ieviešanu Latvijas autotransporta jomā un to </w:t>
      </w:r>
      <w:proofErr w:type="spellStart"/>
      <w:r w:rsidR="00DE0B1A" w:rsidRPr="006900B7">
        <w:rPr>
          <w:rFonts w:ascii="Times New Roman" w:hAnsi="Times New Roman"/>
        </w:rPr>
        <w:t>saskarnēm</w:t>
      </w:r>
      <w:proofErr w:type="spellEnd"/>
      <w:r w:rsidR="00DE0B1A" w:rsidRPr="006900B7">
        <w:rPr>
          <w:rFonts w:ascii="Times New Roman" w:hAnsi="Times New Roman"/>
        </w:rPr>
        <w:t xml:space="preserve"> ar citiem transporta veidiem"  https://likumi.lv/ta/id/316187-par-konceptualo-zinojumu-par-intelektisko-transporta-sistemu-ieviesanu-latvijas-autotransporta-joma-un-to-saskarnem-ar-citiem-transporta-veidiem </w:t>
      </w:r>
    </w:p>
  </w:footnote>
  <w:footnote w:id="4">
    <w:p w14:paraId="6697F09A" w14:textId="25ABD6E4" w:rsidR="005C026E" w:rsidRPr="006900B7" w:rsidRDefault="005C026E" w:rsidP="006900B7">
      <w:pPr>
        <w:pStyle w:val="FootnoteText"/>
        <w:jc w:val="both"/>
        <w:rPr>
          <w:rFonts w:ascii="Times New Roman" w:hAnsi="Times New Roman"/>
        </w:rPr>
      </w:pPr>
      <w:r w:rsidRPr="006900B7">
        <w:rPr>
          <w:rStyle w:val="FootnoteReference"/>
          <w:rFonts w:ascii="Times New Roman" w:hAnsi="Times New Roman"/>
        </w:rPr>
        <w:footnoteRef/>
      </w:r>
      <w:r w:rsidRPr="006900B7">
        <w:rPr>
          <w:rFonts w:ascii="Times New Roman" w:hAnsi="Times New Roman"/>
        </w:rPr>
        <w:t xml:space="preserve"> </w:t>
      </w:r>
      <w:r w:rsidRPr="006900B7">
        <w:rPr>
          <w:rFonts w:ascii="Times New Roman" w:hAnsi="Times New Roman"/>
          <w:sz w:val="18"/>
          <w:szCs w:val="18"/>
        </w:rPr>
        <w:t xml:space="preserve">Eiropas Parlamenta un Padomes 2010.gada 7.jūlija Direktīva 2010/40/ES </w:t>
      </w:r>
      <w:r w:rsidRPr="006900B7">
        <w:rPr>
          <w:rFonts w:ascii="Times New Roman" w:hAnsi="Times New Roman"/>
          <w:color w:val="444444"/>
          <w:sz w:val="18"/>
          <w:szCs w:val="18"/>
          <w:shd w:val="clear" w:color="auto" w:fill="FFFFFF"/>
        </w:rPr>
        <w:t xml:space="preserve">par pamatu inteliģento transporta sistēmu ieviešanai autotransporta jomā un </w:t>
      </w:r>
      <w:proofErr w:type="spellStart"/>
      <w:r w:rsidRPr="006900B7">
        <w:rPr>
          <w:rFonts w:ascii="Times New Roman" w:hAnsi="Times New Roman"/>
          <w:color w:val="444444"/>
          <w:sz w:val="18"/>
          <w:szCs w:val="18"/>
          <w:shd w:val="clear" w:color="auto" w:fill="FFFFFF"/>
        </w:rPr>
        <w:t>saskarnēm</w:t>
      </w:r>
      <w:proofErr w:type="spellEnd"/>
      <w:r w:rsidRPr="006900B7">
        <w:rPr>
          <w:rFonts w:ascii="Times New Roman" w:hAnsi="Times New Roman"/>
          <w:color w:val="444444"/>
          <w:sz w:val="18"/>
          <w:szCs w:val="18"/>
          <w:shd w:val="clear" w:color="auto" w:fill="FFFFFF"/>
        </w:rPr>
        <w:t xml:space="preserve"> ar citiem transporta veidiem </w:t>
      </w:r>
      <w:hyperlink r:id="rId1" w:history="1">
        <w:r w:rsidRPr="006900B7">
          <w:rPr>
            <w:rStyle w:val="Hyperlink"/>
            <w:rFonts w:ascii="Times New Roman" w:hAnsi="Times New Roman"/>
          </w:rPr>
          <w:t>https://eur-lex.europa.eu/legal-content/LV/TXT/?uri=celex%3A32010L0040</w:t>
        </w:r>
      </w:hyperlink>
    </w:p>
    <w:p w14:paraId="377A580A" w14:textId="6DF6311E" w:rsidR="005C026E" w:rsidRPr="006900B7" w:rsidRDefault="005C026E" w:rsidP="006900B7">
      <w:pPr>
        <w:pStyle w:val="FootnoteText"/>
        <w:jc w:val="both"/>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8BCE0" w14:textId="77777777" w:rsidR="00AA25D7" w:rsidRDefault="00AA25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244F"/>
    <w:multiLevelType w:val="hybridMultilevel"/>
    <w:tmpl w:val="29E6C3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ED016A7"/>
    <w:multiLevelType w:val="hybridMultilevel"/>
    <w:tmpl w:val="D370078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EC70D72"/>
    <w:multiLevelType w:val="hybridMultilevel"/>
    <w:tmpl w:val="ED2686D4"/>
    <w:lvl w:ilvl="0" w:tplc="021AE6CC">
      <w:start w:val="1"/>
      <w:numFmt w:val="bullet"/>
      <w:lvlText w:val=""/>
      <w:lvlJc w:val="left"/>
      <w:pPr>
        <w:ind w:left="720" w:hanging="360"/>
      </w:pPr>
      <w:rPr>
        <w:rFonts w:ascii="Symbol" w:hAnsi="Symbol" w:hint="default"/>
      </w:rPr>
    </w:lvl>
    <w:lvl w:ilvl="1" w:tplc="D3E0B488">
      <w:start w:val="1"/>
      <w:numFmt w:val="bullet"/>
      <w:lvlText w:val="o"/>
      <w:lvlJc w:val="left"/>
      <w:pPr>
        <w:ind w:left="1440" w:hanging="360"/>
      </w:pPr>
      <w:rPr>
        <w:rFonts w:ascii="Courier New" w:hAnsi="Courier New" w:hint="default"/>
      </w:rPr>
    </w:lvl>
    <w:lvl w:ilvl="2" w:tplc="7DBC262C">
      <w:start w:val="1"/>
      <w:numFmt w:val="bullet"/>
      <w:lvlText w:val=""/>
      <w:lvlJc w:val="left"/>
      <w:pPr>
        <w:ind w:left="2160" w:hanging="360"/>
      </w:pPr>
      <w:rPr>
        <w:rFonts w:ascii="Wingdings" w:hAnsi="Wingdings" w:hint="default"/>
      </w:rPr>
    </w:lvl>
    <w:lvl w:ilvl="3" w:tplc="EEEC892A">
      <w:start w:val="1"/>
      <w:numFmt w:val="bullet"/>
      <w:lvlText w:val=""/>
      <w:lvlJc w:val="left"/>
      <w:pPr>
        <w:ind w:left="2880" w:hanging="360"/>
      </w:pPr>
      <w:rPr>
        <w:rFonts w:ascii="Symbol" w:hAnsi="Symbol" w:hint="default"/>
      </w:rPr>
    </w:lvl>
    <w:lvl w:ilvl="4" w:tplc="8B082520">
      <w:start w:val="1"/>
      <w:numFmt w:val="bullet"/>
      <w:lvlText w:val="o"/>
      <w:lvlJc w:val="left"/>
      <w:pPr>
        <w:ind w:left="3600" w:hanging="360"/>
      </w:pPr>
      <w:rPr>
        <w:rFonts w:ascii="Courier New" w:hAnsi="Courier New" w:hint="default"/>
      </w:rPr>
    </w:lvl>
    <w:lvl w:ilvl="5" w:tplc="85127BE8">
      <w:start w:val="1"/>
      <w:numFmt w:val="bullet"/>
      <w:lvlText w:val=""/>
      <w:lvlJc w:val="left"/>
      <w:pPr>
        <w:ind w:left="4320" w:hanging="360"/>
      </w:pPr>
      <w:rPr>
        <w:rFonts w:ascii="Wingdings" w:hAnsi="Wingdings" w:hint="default"/>
      </w:rPr>
    </w:lvl>
    <w:lvl w:ilvl="6" w:tplc="E1C604D6">
      <w:start w:val="1"/>
      <w:numFmt w:val="bullet"/>
      <w:lvlText w:val=""/>
      <w:lvlJc w:val="left"/>
      <w:pPr>
        <w:ind w:left="5040" w:hanging="360"/>
      </w:pPr>
      <w:rPr>
        <w:rFonts w:ascii="Symbol" w:hAnsi="Symbol" w:hint="default"/>
      </w:rPr>
    </w:lvl>
    <w:lvl w:ilvl="7" w:tplc="C2A0281A">
      <w:start w:val="1"/>
      <w:numFmt w:val="bullet"/>
      <w:lvlText w:val="o"/>
      <w:lvlJc w:val="left"/>
      <w:pPr>
        <w:ind w:left="5760" w:hanging="360"/>
      </w:pPr>
      <w:rPr>
        <w:rFonts w:ascii="Courier New" w:hAnsi="Courier New" w:hint="default"/>
      </w:rPr>
    </w:lvl>
    <w:lvl w:ilvl="8" w:tplc="F940C1F0">
      <w:start w:val="1"/>
      <w:numFmt w:val="bullet"/>
      <w:lvlText w:val=""/>
      <w:lvlJc w:val="left"/>
      <w:pPr>
        <w:ind w:left="6480" w:hanging="360"/>
      </w:pPr>
      <w:rPr>
        <w:rFonts w:ascii="Wingdings" w:hAnsi="Wingdings" w:hint="default"/>
      </w:rPr>
    </w:lvl>
  </w:abstractNum>
  <w:abstractNum w:abstractNumId="3" w15:restartNumberingAfterBreak="0">
    <w:nsid w:val="6F1123EE"/>
    <w:multiLevelType w:val="hybridMultilevel"/>
    <w:tmpl w:val="1752110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666"/>
    <w:rsid w:val="00026153"/>
    <w:rsid w:val="00030D33"/>
    <w:rsid w:val="00045F02"/>
    <w:rsid w:val="00067FAE"/>
    <w:rsid w:val="000700B6"/>
    <w:rsid w:val="000865C3"/>
    <w:rsid w:val="00090D93"/>
    <w:rsid w:val="000A2DCE"/>
    <w:rsid w:val="000D0A37"/>
    <w:rsid w:val="000D1496"/>
    <w:rsid w:val="000D2030"/>
    <w:rsid w:val="000E553B"/>
    <w:rsid w:val="000F6666"/>
    <w:rsid w:val="00100FB5"/>
    <w:rsid w:val="00111B2D"/>
    <w:rsid w:val="00115580"/>
    <w:rsid w:val="00133826"/>
    <w:rsid w:val="00137636"/>
    <w:rsid w:val="00153CED"/>
    <w:rsid w:val="001574BC"/>
    <w:rsid w:val="00164712"/>
    <w:rsid w:val="00164934"/>
    <w:rsid w:val="00183DFA"/>
    <w:rsid w:val="001A100A"/>
    <w:rsid w:val="001A4CD1"/>
    <w:rsid w:val="001C6A76"/>
    <w:rsid w:val="001E1327"/>
    <w:rsid w:val="001F54B9"/>
    <w:rsid w:val="00206474"/>
    <w:rsid w:val="00221533"/>
    <w:rsid w:val="00234AA7"/>
    <w:rsid w:val="002422C5"/>
    <w:rsid w:val="0025034C"/>
    <w:rsid w:val="00255239"/>
    <w:rsid w:val="00264A06"/>
    <w:rsid w:val="00275166"/>
    <w:rsid w:val="002D03C1"/>
    <w:rsid w:val="002D133F"/>
    <w:rsid w:val="002F6E5B"/>
    <w:rsid w:val="00313F64"/>
    <w:rsid w:val="003257DC"/>
    <w:rsid w:val="00327516"/>
    <w:rsid w:val="0033762D"/>
    <w:rsid w:val="00357309"/>
    <w:rsid w:val="00397CA3"/>
    <w:rsid w:val="003B24CC"/>
    <w:rsid w:val="003C2322"/>
    <w:rsid w:val="003E1E9D"/>
    <w:rsid w:val="00425814"/>
    <w:rsid w:val="00431220"/>
    <w:rsid w:val="00431B0B"/>
    <w:rsid w:val="00432972"/>
    <w:rsid w:val="00433A56"/>
    <w:rsid w:val="004838F8"/>
    <w:rsid w:val="004B0F4A"/>
    <w:rsid w:val="004B72EC"/>
    <w:rsid w:val="004C6B48"/>
    <w:rsid w:val="004D4EBE"/>
    <w:rsid w:val="004F3AC9"/>
    <w:rsid w:val="004F52AC"/>
    <w:rsid w:val="005065F2"/>
    <w:rsid w:val="00513CCB"/>
    <w:rsid w:val="0054553D"/>
    <w:rsid w:val="00546D9F"/>
    <w:rsid w:val="00552723"/>
    <w:rsid w:val="00563DC0"/>
    <w:rsid w:val="005654D2"/>
    <w:rsid w:val="00574A7E"/>
    <w:rsid w:val="00583487"/>
    <w:rsid w:val="005A3327"/>
    <w:rsid w:val="005A5BF0"/>
    <w:rsid w:val="005B5029"/>
    <w:rsid w:val="005B5B85"/>
    <w:rsid w:val="005C026E"/>
    <w:rsid w:val="005C0DB9"/>
    <w:rsid w:val="005C3DA0"/>
    <w:rsid w:val="005C4313"/>
    <w:rsid w:val="005D1542"/>
    <w:rsid w:val="00600DE7"/>
    <w:rsid w:val="00604F76"/>
    <w:rsid w:val="00625484"/>
    <w:rsid w:val="00634CD6"/>
    <w:rsid w:val="00636D0C"/>
    <w:rsid w:val="006521DB"/>
    <w:rsid w:val="00653227"/>
    <w:rsid w:val="00671739"/>
    <w:rsid w:val="00676C95"/>
    <w:rsid w:val="006900B7"/>
    <w:rsid w:val="006929D1"/>
    <w:rsid w:val="006A44E5"/>
    <w:rsid w:val="006C252D"/>
    <w:rsid w:val="006E7A51"/>
    <w:rsid w:val="006F1BC2"/>
    <w:rsid w:val="00701232"/>
    <w:rsid w:val="00710B83"/>
    <w:rsid w:val="00717BCA"/>
    <w:rsid w:val="0072429B"/>
    <w:rsid w:val="00725915"/>
    <w:rsid w:val="007360B8"/>
    <w:rsid w:val="007404CE"/>
    <w:rsid w:val="007A51FE"/>
    <w:rsid w:val="007C6C65"/>
    <w:rsid w:val="007F0D1C"/>
    <w:rsid w:val="00803BA3"/>
    <w:rsid w:val="00815664"/>
    <w:rsid w:val="00820934"/>
    <w:rsid w:val="008435A2"/>
    <w:rsid w:val="008941B6"/>
    <w:rsid w:val="008B0AAF"/>
    <w:rsid w:val="008B5E4D"/>
    <w:rsid w:val="008C1197"/>
    <w:rsid w:val="008C69F4"/>
    <w:rsid w:val="008D0552"/>
    <w:rsid w:val="008E37D1"/>
    <w:rsid w:val="00914A11"/>
    <w:rsid w:val="009205DE"/>
    <w:rsid w:val="00930380"/>
    <w:rsid w:val="00931C51"/>
    <w:rsid w:val="0094404C"/>
    <w:rsid w:val="009449CF"/>
    <w:rsid w:val="0096052C"/>
    <w:rsid w:val="00963999"/>
    <w:rsid w:val="00994401"/>
    <w:rsid w:val="009A317D"/>
    <w:rsid w:val="009B3D2C"/>
    <w:rsid w:val="009F1043"/>
    <w:rsid w:val="009F1ACC"/>
    <w:rsid w:val="00A05ED7"/>
    <w:rsid w:val="00A17FC2"/>
    <w:rsid w:val="00A50A9A"/>
    <w:rsid w:val="00A50D6A"/>
    <w:rsid w:val="00A566BD"/>
    <w:rsid w:val="00A56857"/>
    <w:rsid w:val="00A6438B"/>
    <w:rsid w:val="00A84A31"/>
    <w:rsid w:val="00A869AD"/>
    <w:rsid w:val="00A90D97"/>
    <w:rsid w:val="00AA25D7"/>
    <w:rsid w:val="00AA500E"/>
    <w:rsid w:val="00AB0241"/>
    <w:rsid w:val="00AD20A0"/>
    <w:rsid w:val="00AD7EFD"/>
    <w:rsid w:val="00B40CEB"/>
    <w:rsid w:val="00B70879"/>
    <w:rsid w:val="00B74023"/>
    <w:rsid w:val="00BA0B7C"/>
    <w:rsid w:val="00BC057F"/>
    <w:rsid w:val="00BD275C"/>
    <w:rsid w:val="00BD2ACA"/>
    <w:rsid w:val="00BD41B6"/>
    <w:rsid w:val="00BF6E74"/>
    <w:rsid w:val="00C03CE1"/>
    <w:rsid w:val="00C07A2C"/>
    <w:rsid w:val="00C07B31"/>
    <w:rsid w:val="00C125A6"/>
    <w:rsid w:val="00C12749"/>
    <w:rsid w:val="00C25B25"/>
    <w:rsid w:val="00C27C65"/>
    <w:rsid w:val="00C73B8F"/>
    <w:rsid w:val="00C802C1"/>
    <w:rsid w:val="00C80FEE"/>
    <w:rsid w:val="00C81957"/>
    <w:rsid w:val="00C81E87"/>
    <w:rsid w:val="00CA4FE7"/>
    <w:rsid w:val="00CC0855"/>
    <w:rsid w:val="00CF2161"/>
    <w:rsid w:val="00D15CBB"/>
    <w:rsid w:val="00D3230F"/>
    <w:rsid w:val="00D63628"/>
    <w:rsid w:val="00D81190"/>
    <w:rsid w:val="00DC6A09"/>
    <w:rsid w:val="00DD0814"/>
    <w:rsid w:val="00DD233F"/>
    <w:rsid w:val="00DD258E"/>
    <w:rsid w:val="00DE0B1A"/>
    <w:rsid w:val="00DF00E2"/>
    <w:rsid w:val="00DF4CA4"/>
    <w:rsid w:val="00E0267D"/>
    <w:rsid w:val="00E04714"/>
    <w:rsid w:val="00E24137"/>
    <w:rsid w:val="00E26452"/>
    <w:rsid w:val="00E30BAB"/>
    <w:rsid w:val="00E33E63"/>
    <w:rsid w:val="00E66163"/>
    <w:rsid w:val="00E7725B"/>
    <w:rsid w:val="00ED1351"/>
    <w:rsid w:val="00EE1061"/>
    <w:rsid w:val="00EF2223"/>
    <w:rsid w:val="00F36439"/>
    <w:rsid w:val="00F41FD8"/>
    <w:rsid w:val="00F4524C"/>
    <w:rsid w:val="00F52F08"/>
    <w:rsid w:val="00F727F5"/>
    <w:rsid w:val="00F77C78"/>
    <w:rsid w:val="00F840A7"/>
    <w:rsid w:val="00F85F30"/>
    <w:rsid w:val="00F952D5"/>
    <w:rsid w:val="00F95310"/>
    <w:rsid w:val="00FA11A2"/>
    <w:rsid w:val="00FA549B"/>
    <w:rsid w:val="00FC114E"/>
    <w:rsid w:val="00FD2454"/>
    <w:rsid w:val="00FD7EA6"/>
    <w:rsid w:val="010443ED"/>
    <w:rsid w:val="011F1C26"/>
    <w:rsid w:val="017C2DA9"/>
    <w:rsid w:val="073532D4"/>
    <w:rsid w:val="07D0A686"/>
    <w:rsid w:val="0A1F3429"/>
    <w:rsid w:val="0AD4FB6A"/>
    <w:rsid w:val="0E69B71D"/>
    <w:rsid w:val="0F5E4007"/>
    <w:rsid w:val="1675F8B8"/>
    <w:rsid w:val="169A9FF0"/>
    <w:rsid w:val="16A60C55"/>
    <w:rsid w:val="17145F4F"/>
    <w:rsid w:val="1868649E"/>
    <w:rsid w:val="1E2A8E1C"/>
    <w:rsid w:val="1F03C573"/>
    <w:rsid w:val="221693AB"/>
    <w:rsid w:val="243E8AFA"/>
    <w:rsid w:val="27F72EAC"/>
    <w:rsid w:val="281BB2D0"/>
    <w:rsid w:val="30AC0C67"/>
    <w:rsid w:val="3191FE11"/>
    <w:rsid w:val="3511D867"/>
    <w:rsid w:val="3E1DFA2C"/>
    <w:rsid w:val="3E9C4F14"/>
    <w:rsid w:val="4270B10B"/>
    <w:rsid w:val="466F5B18"/>
    <w:rsid w:val="47780E84"/>
    <w:rsid w:val="49F073F0"/>
    <w:rsid w:val="4AB76B32"/>
    <w:rsid w:val="4B13C75C"/>
    <w:rsid w:val="4E115EE1"/>
    <w:rsid w:val="5075AE90"/>
    <w:rsid w:val="51724AD9"/>
    <w:rsid w:val="548E01CC"/>
    <w:rsid w:val="55EA3BFE"/>
    <w:rsid w:val="5C350521"/>
    <w:rsid w:val="5F99DE09"/>
    <w:rsid w:val="67FF4FCE"/>
    <w:rsid w:val="6B0189BD"/>
    <w:rsid w:val="6C0B9EA3"/>
    <w:rsid w:val="729794C7"/>
    <w:rsid w:val="736DFF86"/>
    <w:rsid w:val="748F10D4"/>
    <w:rsid w:val="75FC4A8E"/>
    <w:rsid w:val="77931B36"/>
    <w:rsid w:val="7A0D8B95"/>
    <w:rsid w:val="7B88B335"/>
    <w:rsid w:val="7BB382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1005B"/>
  <w15:docId w15:val="{B4548E2F-56DB-46E7-8085-914F55B69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666"/>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0F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F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F66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666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F6666"/>
    <w:rPr>
      <w:vertAlign w:val="superscript"/>
    </w:rPr>
  </w:style>
  <w:style w:type="character" w:styleId="CommentReference">
    <w:name w:val="annotation reference"/>
    <w:basedOn w:val="DefaultParagraphFont"/>
    <w:uiPriority w:val="99"/>
    <w:semiHidden/>
    <w:unhideWhenUsed/>
    <w:rsid w:val="00634CD6"/>
    <w:rPr>
      <w:sz w:val="16"/>
      <w:szCs w:val="16"/>
    </w:rPr>
  </w:style>
  <w:style w:type="paragraph" w:styleId="CommentText">
    <w:name w:val="annotation text"/>
    <w:basedOn w:val="Normal"/>
    <w:link w:val="CommentTextChar"/>
    <w:uiPriority w:val="99"/>
    <w:unhideWhenUsed/>
    <w:rsid w:val="00634CD6"/>
    <w:pPr>
      <w:spacing w:line="240" w:lineRule="auto"/>
    </w:pPr>
    <w:rPr>
      <w:sz w:val="20"/>
      <w:szCs w:val="20"/>
    </w:rPr>
  </w:style>
  <w:style w:type="character" w:customStyle="1" w:styleId="CommentTextChar">
    <w:name w:val="Comment Text Char"/>
    <w:basedOn w:val="DefaultParagraphFont"/>
    <w:link w:val="CommentText"/>
    <w:uiPriority w:val="99"/>
    <w:rsid w:val="00634CD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34CD6"/>
    <w:rPr>
      <w:b/>
      <w:bCs/>
    </w:rPr>
  </w:style>
  <w:style w:type="character" w:customStyle="1" w:styleId="CommentSubjectChar">
    <w:name w:val="Comment Subject Char"/>
    <w:basedOn w:val="CommentTextChar"/>
    <w:link w:val="CommentSubject"/>
    <w:uiPriority w:val="99"/>
    <w:semiHidden/>
    <w:rsid w:val="00634CD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34C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CD6"/>
    <w:rPr>
      <w:rFonts w:ascii="Segoe UI" w:eastAsia="Calibri" w:hAnsi="Segoe UI" w:cs="Segoe UI"/>
      <w:sz w:val="18"/>
      <w:szCs w:val="18"/>
    </w:rPr>
  </w:style>
  <w:style w:type="paragraph" w:styleId="Revision">
    <w:name w:val="Revision"/>
    <w:hidden/>
    <w:uiPriority w:val="99"/>
    <w:semiHidden/>
    <w:rsid w:val="008C1197"/>
    <w:rPr>
      <w:rFonts w:ascii="Calibri" w:eastAsia="Calibri" w:hAnsi="Calibri" w:cs="Times New Roman"/>
      <w:sz w:val="22"/>
    </w:rPr>
  </w:style>
  <w:style w:type="paragraph" w:styleId="Header">
    <w:name w:val="header"/>
    <w:basedOn w:val="Normal"/>
    <w:link w:val="HeaderChar"/>
    <w:uiPriority w:val="99"/>
    <w:unhideWhenUsed/>
    <w:rsid w:val="00AA25D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25D7"/>
    <w:rPr>
      <w:rFonts w:ascii="Calibri" w:eastAsia="Calibri" w:hAnsi="Calibri" w:cs="Times New Roman"/>
      <w:sz w:val="22"/>
    </w:rPr>
  </w:style>
  <w:style w:type="paragraph" w:styleId="Footer">
    <w:name w:val="footer"/>
    <w:basedOn w:val="Normal"/>
    <w:link w:val="FooterChar"/>
    <w:uiPriority w:val="99"/>
    <w:unhideWhenUsed/>
    <w:rsid w:val="00AA25D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25D7"/>
    <w:rPr>
      <w:rFonts w:ascii="Calibri" w:eastAsia="Calibri" w:hAnsi="Calibri" w:cs="Times New Roman"/>
      <w:sz w:val="22"/>
    </w:rPr>
  </w:style>
  <w:style w:type="paragraph" w:styleId="ListParagraph">
    <w:name w:val="List Paragraph"/>
    <w:aliases w:val="2,Strip,Numbered Para 1,Dot pt,No Spacing1,List Paragraph Char Char Char,Indicator Text,List Paragraph1,Bullet Points,MAIN CONTENT,IFCL - List Paragraph,List Paragraph12,OBC Bullet,F5 List Paragraph,Colorful List - Accent 11"/>
    <w:basedOn w:val="Normal"/>
    <w:link w:val="ListParagraphChar"/>
    <w:uiPriority w:val="34"/>
    <w:qFormat/>
    <w:rsid w:val="00BD2ACA"/>
    <w:pPr>
      <w:ind w:left="720"/>
      <w:contextualSpacing/>
    </w:pPr>
  </w:style>
  <w:style w:type="character" w:styleId="Hyperlink">
    <w:name w:val="Hyperlink"/>
    <w:basedOn w:val="DefaultParagraphFont"/>
    <w:uiPriority w:val="99"/>
    <w:semiHidden/>
    <w:unhideWhenUsed/>
    <w:rsid w:val="00045F02"/>
    <w:rPr>
      <w:color w:val="0000FF"/>
      <w:u w:val="single"/>
    </w:rPr>
  </w:style>
  <w:style w:type="character" w:customStyle="1" w:styleId="ListParagraphChar">
    <w:name w:val="List Paragraph Char"/>
    <w:aliases w:val="2 Char,Strip Char,Numbered Para 1 Char,Dot pt Char,No Spacing1 Char,List Paragraph Char Char Char Char,Indicator Text Char,List Paragraph1 Char,Bullet Points Char,MAIN CONTENT Char,IFCL - List Paragraph Char,List Paragraph12 Char"/>
    <w:basedOn w:val="DefaultParagraphFont"/>
    <w:link w:val="ListParagraph"/>
    <w:uiPriority w:val="34"/>
    <w:locked/>
    <w:rsid w:val="0054553D"/>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6195">
      <w:bodyDiv w:val="1"/>
      <w:marLeft w:val="0"/>
      <w:marRight w:val="0"/>
      <w:marTop w:val="0"/>
      <w:marBottom w:val="0"/>
      <w:divBdr>
        <w:top w:val="none" w:sz="0" w:space="0" w:color="auto"/>
        <w:left w:val="none" w:sz="0" w:space="0" w:color="auto"/>
        <w:bottom w:val="none" w:sz="0" w:space="0" w:color="auto"/>
        <w:right w:val="none" w:sz="0" w:space="0" w:color="auto"/>
      </w:divBdr>
    </w:div>
    <w:div w:id="1242986759">
      <w:bodyDiv w:val="1"/>
      <w:marLeft w:val="0"/>
      <w:marRight w:val="0"/>
      <w:marTop w:val="0"/>
      <w:marBottom w:val="0"/>
      <w:divBdr>
        <w:top w:val="none" w:sz="0" w:space="0" w:color="auto"/>
        <w:left w:val="none" w:sz="0" w:space="0" w:color="auto"/>
        <w:bottom w:val="none" w:sz="0" w:space="0" w:color="auto"/>
        <w:right w:val="none" w:sz="0" w:space="0" w:color="auto"/>
      </w:divBdr>
    </w:div>
    <w:div w:id="1298754706">
      <w:bodyDiv w:val="1"/>
      <w:marLeft w:val="0"/>
      <w:marRight w:val="0"/>
      <w:marTop w:val="0"/>
      <w:marBottom w:val="0"/>
      <w:divBdr>
        <w:top w:val="none" w:sz="0" w:space="0" w:color="auto"/>
        <w:left w:val="none" w:sz="0" w:space="0" w:color="auto"/>
        <w:bottom w:val="none" w:sz="0" w:space="0" w:color="auto"/>
        <w:right w:val="none" w:sz="0" w:space="0" w:color="auto"/>
      </w:divBdr>
    </w:div>
    <w:div w:id="1386249024">
      <w:bodyDiv w:val="1"/>
      <w:marLeft w:val="0"/>
      <w:marRight w:val="0"/>
      <w:marTop w:val="0"/>
      <w:marBottom w:val="0"/>
      <w:divBdr>
        <w:top w:val="none" w:sz="0" w:space="0" w:color="auto"/>
        <w:left w:val="none" w:sz="0" w:space="0" w:color="auto"/>
        <w:bottom w:val="none" w:sz="0" w:space="0" w:color="auto"/>
        <w:right w:val="none" w:sz="0" w:space="0" w:color="auto"/>
      </w:divBdr>
    </w:div>
    <w:div w:id="1484082801">
      <w:bodyDiv w:val="1"/>
      <w:marLeft w:val="0"/>
      <w:marRight w:val="0"/>
      <w:marTop w:val="0"/>
      <w:marBottom w:val="0"/>
      <w:divBdr>
        <w:top w:val="none" w:sz="0" w:space="0" w:color="auto"/>
        <w:left w:val="none" w:sz="0" w:space="0" w:color="auto"/>
        <w:bottom w:val="none" w:sz="0" w:space="0" w:color="auto"/>
        <w:right w:val="none" w:sz="0" w:space="0" w:color="auto"/>
      </w:divBdr>
    </w:div>
    <w:div w:id="173134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V/TXT/?uri=celex%3A32010L0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7B428-125F-4F44-A643-3EF3FB727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657</Words>
  <Characters>4506</Characters>
  <Application>Microsoft Office Word</Application>
  <DocSecurity>0</DocSecurity>
  <Lines>1502</Lines>
  <Paragraphs>397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Alise Eglīte</dc:creator>
  <cp:lastModifiedBy>Elīna Puriņa</cp:lastModifiedBy>
  <cp:revision>6</cp:revision>
  <cp:lastPrinted>2020-03-27T11:09:00Z</cp:lastPrinted>
  <dcterms:created xsi:type="dcterms:W3CDTF">2021-06-01T08:04:00Z</dcterms:created>
  <dcterms:modified xsi:type="dcterms:W3CDTF">2021-06-04T09:30:00Z</dcterms:modified>
</cp:coreProperties>
</file>