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B554" w14:textId="77777777" w:rsidR="00D946F2" w:rsidRPr="008F395E" w:rsidRDefault="00D946F2" w:rsidP="00D946F2">
      <w:pPr>
        <w:keepNext/>
        <w:spacing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8F395E">
        <w:rPr>
          <w:rFonts w:ascii="Times New Roman" w:hAnsi="Times New Roman"/>
          <w:b/>
          <w:bCs/>
          <w:sz w:val="18"/>
          <w:szCs w:val="18"/>
        </w:rPr>
        <w:t xml:space="preserve">Tabula </w:t>
      </w:r>
      <w:r w:rsidR="00B100E6" w:rsidRPr="008F395E">
        <w:rPr>
          <w:rFonts w:ascii="Times New Roman" w:hAnsi="Times New Roman"/>
          <w:b/>
          <w:bCs/>
          <w:sz w:val="18"/>
          <w:szCs w:val="18"/>
        </w:rPr>
        <w:fldChar w:fldCharType="begin"/>
      </w:r>
      <w:r w:rsidRPr="008F395E">
        <w:rPr>
          <w:rFonts w:ascii="Times New Roman" w:hAnsi="Times New Roman"/>
          <w:b/>
          <w:bCs/>
          <w:sz w:val="18"/>
          <w:szCs w:val="18"/>
        </w:rPr>
        <w:instrText xml:space="preserve"> SEQ Tabula \* ARABIC </w:instrText>
      </w:r>
      <w:r w:rsidR="00B100E6" w:rsidRPr="008F395E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Pr="008F395E">
        <w:rPr>
          <w:rFonts w:ascii="Times New Roman" w:hAnsi="Times New Roman"/>
          <w:b/>
          <w:bCs/>
          <w:noProof/>
          <w:sz w:val="18"/>
          <w:szCs w:val="18"/>
        </w:rPr>
        <w:t>1</w:t>
      </w:r>
      <w:r w:rsidR="00B100E6" w:rsidRPr="008F395E">
        <w:rPr>
          <w:rFonts w:ascii="Times New Roman" w:hAnsi="Times New Roman"/>
          <w:b/>
          <w:bCs/>
          <w:sz w:val="18"/>
          <w:szCs w:val="18"/>
        </w:rPr>
        <w:fldChar w:fldCharType="end"/>
      </w:r>
      <w:r w:rsidRPr="008F395E">
        <w:rPr>
          <w:rFonts w:ascii="Times New Roman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1418"/>
        <w:gridCol w:w="4677"/>
        <w:gridCol w:w="4678"/>
        <w:gridCol w:w="1531"/>
      </w:tblGrid>
      <w:tr w:rsidR="00D946F2" w:rsidRPr="00D323DD" w14:paraId="5123656D" w14:textId="77777777" w:rsidTr="00301FD8">
        <w:tc>
          <w:tcPr>
            <w:tcW w:w="1447" w:type="dxa"/>
          </w:tcPr>
          <w:p w14:paraId="24640081" w14:textId="77777777" w:rsidR="00D946F2" w:rsidRPr="00A3214F" w:rsidRDefault="00D946F2" w:rsidP="00A32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417" w:type="dxa"/>
          </w:tcPr>
          <w:p w14:paraId="2B74160D" w14:textId="77777777" w:rsidR="00D946F2" w:rsidRPr="00A3214F" w:rsidRDefault="00D946F2" w:rsidP="00A32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418" w:type="dxa"/>
          </w:tcPr>
          <w:p w14:paraId="1F7ECB9D" w14:textId="77777777" w:rsidR="00D946F2" w:rsidRPr="00A3214F" w:rsidRDefault="00D946F2" w:rsidP="00A32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4677" w:type="dxa"/>
          </w:tcPr>
          <w:p w14:paraId="5E56062C" w14:textId="77777777" w:rsidR="00D946F2" w:rsidRPr="00A3214F" w:rsidRDefault="00D946F2" w:rsidP="00A32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4678" w:type="dxa"/>
          </w:tcPr>
          <w:p w14:paraId="2537B268" w14:textId="77777777" w:rsidR="00D946F2" w:rsidRPr="00A3214F" w:rsidRDefault="00D946F2" w:rsidP="00A32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Iznākuma rādītāji (IR)</w:t>
            </w:r>
          </w:p>
        </w:tc>
        <w:tc>
          <w:tcPr>
            <w:tcW w:w="1531" w:type="dxa"/>
          </w:tcPr>
          <w:p w14:paraId="64C41340" w14:textId="77777777" w:rsidR="00D946F2" w:rsidRPr="00A3214F" w:rsidRDefault="00D946F2" w:rsidP="00B07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b/>
                <w:sz w:val="16"/>
                <w:szCs w:val="16"/>
              </w:rPr>
              <w:t>Finanšu rādītāji</w:t>
            </w:r>
          </w:p>
        </w:tc>
      </w:tr>
      <w:tr w:rsidR="00D946F2" w:rsidRPr="00341E4A" w14:paraId="28F14E4F" w14:textId="77777777" w:rsidTr="00301FD8">
        <w:trPr>
          <w:trHeight w:val="416"/>
        </w:trPr>
        <w:tc>
          <w:tcPr>
            <w:tcW w:w="1447" w:type="dxa"/>
          </w:tcPr>
          <w:p w14:paraId="55F6E502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>5.</w:t>
            </w:r>
            <w:r w:rsidR="006A38F8" w:rsidRPr="00A32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Vides aizsardzība un resursu izmantošanas efektivitāte</w:t>
            </w:r>
          </w:p>
        </w:tc>
        <w:tc>
          <w:tcPr>
            <w:tcW w:w="1417" w:type="dxa"/>
          </w:tcPr>
          <w:p w14:paraId="7BBC5278" w14:textId="728D34D2" w:rsidR="00D946F2" w:rsidRPr="00A3214F" w:rsidRDefault="00D946F2" w:rsidP="00FE16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>5.6.</w:t>
            </w:r>
            <w:r w:rsidR="006A38F8" w:rsidRPr="00A32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 xml:space="preserve">ieguldījumu prioritāte: </w:t>
            </w:r>
            <w:r w:rsidR="00301FD8" w:rsidRPr="00301FD8">
              <w:rPr>
                <w:rFonts w:ascii="Times New Roman" w:hAnsi="Times New Roman"/>
                <w:sz w:val="16"/>
                <w:szCs w:val="16"/>
              </w:rPr>
              <w:t xml:space="preserve">veikt darbības, lai uzlabotu pilsētvidi, </w:t>
            </w:r>
            <w:proofErr w:type="spellStart"/>
            <w:r w:rsidR="00301FD8" w:rsidRPr="00301FD8">
              <w:rPr>
                <w:rFonts w:ascii="Times New Roman" w:hAnsi="Times New Roman"/>
                <w:sz w:val="16"/>
                <w:szCs w:val="16"/>
              </w:rPr>
              <w:t>revitalizētu</w:t>
            </w:r>
            <w:proofErr w:type="spellEnd"/>
            <w:r w:rsidR="00301FD8" w:rsidRPr="00301FD8">
              <w:rPr>
                <w:rFonts w:ascii="Times New Roman" w:hAnsi="Times New Roman"/>
                <w:sz w:val="16"/>
                <w:szCs w:val="16"/>
              </w:rPr>
              <w:t xml:space="preserve"> pilsētas, atjaunotu un attīrītu pamestas rūpnieciskās teritorijas (tai skaitā pārveidei paredzētās zonas), samazinātu gaisa piesārņojumu un veicinātu trokšņa mazināšanas pasākumus.</w:t>
            </w:r>
          </w:p>
        </w:tc>
        <w:tc>
          <w:tcPr>
            <w:tcW w:w="1418" w:type="dxa"/>
          </w:tcPr>
          <w:p w14:paraId="02B4B025" w14:textId="77783EC5" w:rsidR="00D946F2" w:rsidRPr="00A3214F" w:rsidRDefault="00301FD8" w:rsidP="006D651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5.6.3</w:t>
            </w:r>
            <w:r w:rsidR="00D946F2" w:rsidRPr="00A3214F">
              <w:rPr>
                <w:rFonts w:ascii="Times New Roman" w:hAnsi="Times New Roman"/>
                <w:sz w:val="16"/>
                <w:szCs w:val="16"/>
              </w:rPr>
              <w:t>.</w:t>
            </w:r>
            <w:r w:rsidR="006A38F8" w:rsidRPr="00A32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D6512">
              <w:rPr>
                <w:rFonts w:ascii="Times New Roman" w:hAnsi="Times New Roman"/>
                <w:sz w:val="16"/>
                <w:szCs w:val="16"/>
              </w:rPr>
              <w:t>SAM</w:t>
            </w:r>
            <w:r w:rsidR="00FE16AE">
              <w:rPr>
                <w:rFonts w:ascii="Times New Roman" w:hAnsi="Times New Roman"/>
                <w:sz w:val="16"/>
                <w:szCs w:val="16"/>
              </w:rPr>
              <w:t>: vēsturiski piesārņoto vietu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sanācija</w:t>
            </w:r>
            <w:r w:rsidR="006A38F8" w:rsidRPr="00A32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D20DD">
              <w:rPr>
                <w:rFonts w:ascii="Times New Roman" w:hAnsi="Times New Roman"/>
                <w:sz w:val="16"/>
                <w:szCs w:val="16"/>
              </w:rPr>
              <w:t>(</w:t>
            </w:r>
            <w:r w:rsidR="006A38F8" w:rsidRPr="00A3214F">
              <w:rPr>
                <w:rFonts w:ascii="Times New Roman" w:hAnsi="Times New Roman"/>
                <w:sz w:val="16"/>
                <w:szCs w:val="16"/>
              </w:rPr>
              <w:t>ERAF</w:t>
            </w:r>
            <w:r w:rsidR="007D20D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4677" w:type="dxa"/>
          </w:tcPr>
          <w:p w14:paraId="68D63A4E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Nosaukums un mērvienība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58C6D8C5" w14:textId="5422827E" w:rsidR="006A38F8" w:rsidRPr="00301FD8" w:rsidRDefault="007D20DD" w:rsidP="00A321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r.5.6.3.a </w:t>
            </w:r>
            <w:r w:rsidR="00FE16AE">
              <w:rPr>
                <w:rFonts w:ascii="Times New Roman" w:hAnsi="Times New Roman"/>
                <w:b/>
                <w:sz w:val="16"/>
                <w:szCs w:val="16"/>
              </w:rPr>
              <w:t>Piesārņoto vietu, kas radušās naftas pārstrādes ražošanas laikā un kurās nav veikta sanācija, skaits</w:t>
            </w:r>
          </w:p>
          <w:p w14:paraId="5EE361F2" w14:textId="77777777" w:rsidR="00301FD8" w:rsidRDefault="00301FD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76D54E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Definīcija:</w:t>
            </w:r>
          </w:p>
          <w:p w14:paraId="6CE20612" w14:textId="0B31B879" w:rsidR="00D946F2" w:rsidRPr="00A3214F" w:rsidRDefault="0045178C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Piesārņoto vietu skaita</w:t>
            </w:r>
            <w:r w:rsidR="00301FD8">
              <w:rPr>
                <w:rFonts w:ascii="Times New Roman" w:hAnsi="Times New Roman"/>
                <w:sz w:val="16"/>
                <w:szCs w:val="16"/>
              </w:rPr>
              <w:t>, kas radušās naftas pārstrādes produktu ražošana</w:t>
            </w:r>
            <w:r>
              <w:rPr>
                <w:rFonts w:ascii="Times New Roman" w:hAnsi="Times New Roman"/>
                <w:sz w:val="16"/>
                <w:szCs w:val="16"/>
              </w:rPr>
              <w:t>s laik</w:t>
            </w:r>
            <w:r w:rsidR="00FE16AE">
              <w:rPr>
                <w:rFonts w:ascii="Times New Roman" w:hAnsi="Times New Roman"/>
                <w:sz w:val="16"/>
                <w:szCs w:val="16"/>
              </w:rPr>
              <w:t>ā un kurās nav veikta sanācija</w:t>
            </w:r>
            <w:r>
              <w:rPr>
                <w:rFonts w:ascii="Times New Roman" w:hAnsi="Times New Roman"/>
                <w:sz w:val="16"/>
                <w:szCs w:val="16"/>
              </w:rPr>
              <w:t>, samazinājums</w:t>
            </w:r>
          </w:p>
          <w:p w14:paraId="360FE098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A27EB08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Bāzes vērtība un tās noteikšanas gads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08705426" w14:textId="7AEBE996" w:rsidR="00D946F2" w:rsidRPr="00A3214F" w:rsidRDefault="0045178C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 (2016</w:t>
            </w:r>
            <w:r w:rsidR="00D946F2" w:rsidRPr="00A3214F">
              <w:rPr>
                <w:rFonts w:ascii="Times New Roman" w:hAnsi="Times New Roman"/>
                <w:sz w:val="16"/>
                <w:szCs w:val="16"/>
              </w:rPr>
              <w:t>.g.)</w:t>
            </w:r>
          </w:p>
          <w:p w14:paraId="5858D8CC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381DD47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Datu avots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0812DE77" w14:textId="3013A69C" w:rsidR="00D946F2" w:rsidRPr="00A3214F" w:rsidRDefault="0045178C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Piesārņoto un potenciāli piesārņoto vietu reģistrs</w:t>
            </w:r>
          </w:p>
          <w:p w14:paraId="7030C91D" w14:textId="77777777" w:rsidR="0045178C" w:rsidRPr="00A3214F" w:rsidRDefault="0045178C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18DA54C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Apkopošanas biežums un ieguves metodoloģija:</w:t>
            </w:r>
          </w:p>
          <w:p w14:paraId="120B4D3F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>Reizi gadā</w:t>
            </w:r>
          </w:p>
          <w:p w14:paraId="569F2E4C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3BFED3B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Mērķis 2023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64FCBF2E" w14:textId="6FF57CE2" w:rsidR="00B32718" w:rsidRPr="00225851" w:rsidRDefault="0045178C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4929D404" w14:textId="77777777" w:rsidR="00B32718" w:rsidRPr="00A3214F" w:rsidRDefault="00B3271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4B780F5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Mērķa vērtības noteikšanas principi/metodoloģija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6663F1A7" w14:textId="7BCCAE59" w:rsidR="00D946F2" w:rsidRDefault="00D946F2" w:rsidP="00A321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5" w:hanging="21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 xml:space="preserve">Bāzes vērtība noteikta saskaņā ar </w:t>
            </w:r>
            <w:r w:rsidR="0045178C">
              <w:rPr>
                <w:rFonts w:ascii="Times New Roman" w:hAnsi="Times New Roman"/>
                <w:sz w:val="16"/>
                <w:szCs w:val="16"/>
              </w:rPr>
              <w:t>Piesārņoto un potenciāli piesārņoto vietu reģistra informāciju, kur pārbaude tiek veikta, ievadot meklēšanas laukos darbības nozares kodu Nr.2323</w:t>
            </w:r>
            <w:r w:rsidR="00FE398D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 w:rsidR="0045178C">
              <w:rPr>
                <w:rFonts w:ascii="Times New Roman" w:hAnsi="Times New Roman"/>
                <w:sz w:val="16"/>
                <w:szCs w:val="16"/>
              </w:rPr>
              <w:t xml:space="preserve"> “Naftas pārstrādes produktu ražošana” (reģistra meklētājs darbojas, pamatojoties uz Vispārējās ekonomiskās darbības klasifikācijas (NACE) 1.1.redakcijas pamata</w:t>
            </w:r>
            <w:r w:rsidR="00FE398D">
              <w:rPr>
                <w:rFonts w:ascii="Times New Roman" w:hAnsi="Times New Roman"/>
                <w:sz w:val="16"/>
                <w:szCs w:val="16"/>
              </w:rPr>
              <w:t>, kur attiecīgais NACE klasifikatora 2.redakcijas kods būtu Nr.1920)</w:t>
            </w:r>
            <w:r w:rsidR="002528DD">
              <w:rPr>
                <w:rFonts w:ascii="Times New Roman" w:hAnsi="Times New Roman"/>
                <w:sz w:val="16"/>
                <w:szCs w:val="16"/>
              </w:rPr>
              <w:t>, kā arī pārbaudot informāciju par piesārņotajās vietās veiktajiem sanācijas pasākumiem.</w:t>
            </w:r>
            <w:r w:rsidR="0045178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33A9260" w14:textId="7AABC510" w:rsidR="00D946F2" w:rsidRPr="00A3214F" w:rsidRDefault="00D946F2" w:rsidP="00A321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5" w:hanging="21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 xml:space="preserve">Mērķa vērtība noteikta, balstoties uz </w:t>
            </w:r>
            <w:r w:rsidR="0045178C">
              <w:rPr>
                <w:rFonts w:ascii="Times New Roman" w:hAnsi="Times New Roman"/>
                <w:sz w:val="16"/>
                <w:szCs w:val="16"/>
              </w:rPr>
              <w:t>projekta ietvaros plānotajām darbībām, kas paredz Dienvidu un Ziemeļu gudrona dīķu sanāciju, kas Piesārņoto un potenciāli piesārņoto vietu reģistrā atzīmēti ar reģistrācijas numuriem attiecīgi Nr.80648/1474 un Nr.80648/1400.</w:t>
            </w:r>
          </w:p>
          <w:p w14:paraId="684FAA89" w14:textId="77777777" w:rsidR="0075092B" w:rsidRDefault="0075092B" w:rsidP="0045178C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EDF0426" w14:textId="2AB3FBA9" w:rsidR="0045178C" w:rsidRPr="0045178C" w:rsidRDefault="0045178C" w:rsidP="00FE398D">
            <w:pPr>
              <w:shd w:val="clear" w:color="auto" w:fill="FFFFFF"/>
              <w:spacing w:before="300" w:after="150" w:line="330" w:lineRule="atLeast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8" w:type="dxa"/>
          </w:tcPr>
          <w:p w14:paraId="5CAF12E6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IR1 nosaukums un mērvienība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4374ED60" w14:textId="44FBC982" w:rsidR="00D946F2" w:rsidRPr="0048252A" w:rsidRDefault="008178FF" w:rsidP="00A321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i.5.6.3.ak </w:t>
            </w:r>
            <w:r w:rsidR="00225851" w:rsidRPr="0048252A">
              <w:rPr>
                <w:rFonts w:ascii="Times New Roman" w:hAnsi="Times New Roman"/>
                <w:b/>
                <w:sz w:val="16"/>
                <w:szCs w:val="16"/>
              </w:rPr>
              <w:t>Kopējā atjaunotās zemes platība</w:t>
            </w:r>
            <w:r w:rsidR="006A38F8" w:rsidRPr="0048252A">
              <w:rPr>
                <w:rFonts w:ascii="Times New Roman" w:hAnsi="Times New Roman"/>
                <w:b/>
                <w:sz w:val="16"/>
                <w:szCs w:val="16"/>
              </w:rPr>
              <w:t>, ha</w:t>
            </w:r>
          </w:p>
          <w:p w14:paraId="77C36452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8188D97" w14:textId="77777777" w:rsidR="009434FD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Definīcija:</w:t>
            </w:r>
          </w:p>
          <w:p w14:paraId="1DECA5F0" w14:textId="2214C079" w:rsidR="00D946F2" w:rsidRPr="00A3214F" w:rsidRDefault="009434FD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Kopējais rādītājs</w:t>
            </w:r>
          </w:p>
          <w:p w14:paraId="0F210CC2" w14:textId="25777B9C" w:rsidR="002528DD" w:rsidRDefault="002528DD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Kopējā sanētā (no piesārņojuma attīrītā) zemes platība</w:t>
            </w:r>
          </w:p>
          <w:p w14:paraId="6D5C1BF5" w14:textId="77777777" w:rsidR="00122EE3" w:rsidRDefault="00122EE3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4EDD797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Datu avots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337460F2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>Projektu dokumentācija</w:t>
            </w:r>
          </w:p>
          <w:p w14:paraId="12B7FA62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70D4C9B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Apkopošanas biežums un ieguves metodoloģija:</w:t>
            </w:r>
          </w:p>
          <w:p w14:paraId="1440A955" w14:textId="3792C2CE" w:rsidR="00D946F2" w:rsidRPr="00A3214F" w:rsidRDefault="00122EE3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Reizi gadā</w:t>
            </w:r>
          </w:p>
          <w:p w14:paraId="0FACDF40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5FD44A8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Starpposma vērtība 2018:</w:t>
            </w:r>
          </w:p>
          <w:p w14:paraId="103FD9E5" w14:textId="20211E72" w:rsidR="00D946F2" w:rsidRPr="002528DD" w:rsidRDefault="002528DD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528DD">
              <w:rPr>
                <w:rFonts w:ascii="Times New Roman" w:hAnsi="Times New Roman"/>
                <w:sz w:val="16"/>
                <w:szCs w:val="16"/>
              </w:rPr>
              <w:t>Galvenais īstenošanas posms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noslēgts līgums par sanācijas darbu izpildi</w:t>
            </w:r>
          </w:p>
          <w:p w14:paraId="7C96D937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2180792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Mērķis 2023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2EE737CB" w14:textId="3BCD5803" w:rsidR="00D946F2" w:rsidRPr="009434FD" w:rsidRDefault="00FE16AE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34FD">
              <w:rPr>
                <w:rFonts w:ascii="Times New Roman" w:hAnsi="Times New Roman"/>
                <w:sz w:val="16"/>
                <w:szCs w:val="16"/>
              </w:rPr>
              <w:t>2,5</w:t>
            </w:r>
          </w:p>
          <w:p w14:paraId="775432B8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2AC416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Mērķa vērtības noteikšanas principi/metodoloģija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27B17AF4" w14:textId="0ED6E03C" w:rsidR="00D946F2" w:rsidRDefault="00122EE3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Atbilstoši 2007.-2013.gada plānošanas perioda 3.4.1.4.aktivitātes “Vēsturiski piesārņoto vietu sanācija” projekta “Vēsturiski piesārņoto vietu “Inčukalna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sērskābie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gudrona dīķi” sanācijas darbi” </w:t>
            </w:r>
            <w:r w:rsidR="00D51594">
              <w:rPr>
                <w:rFonts w:ascii="Times New Roman" w:hAnsi="Times New Roman"/>
                <w:sz w:val="16"/>
                <w:szCs w:val="16"/>
              </w:rPr>
              <w:t>dokumentācijai par kopējiem projekta īstenošanas rādītājiem</w:t>
            </w:r>
            <w:r w:rsidR="002528DD">
              <w:rPr>
                <w:rFonts w:ascii="Times New Roman" w:hAnsi="Times New Roman"/>
                <w:sz w:val="16"/>
                <w:szCs w:val="16"/>
              </w:rPr>
              <w:t xml:space="preserve"> un </w:t>
            </w:r>
            <w:r w:rsidR="002528DD" w:rsidRPr="002528DD">
              <w:rPr>
                <w:rFonts w:ascii="Times New Roman" w:hAnsi="Times New Roman"/>
                <w:sz w:val="16"/>
                <w:szCs w:val="16"/>
              </w:rPr>
              <w:t>Eiropas Kom</w:t>
            </w:r>
            <w:r w:rsidR="002528DD">
              <w:rPr>
                <w:rFonts w:ascii="Times New Roman" w:hAnsi="Times New Roman"/>
                <w:sz w:val="16"/>
                <w:szCs w:val="16"/>
              </w:rPr>
              <w:t>isijas 2016.gada 7.jūnija lēmumam</w:t>
            </w:r>
            <w:r w:rsidR="002528DD" w:rsidRPr="002528DD">
              <w:rPr>
                <w:rFonts w:ascii="Times New Roman" w:hAnsi="Times New Roman"/>
                <w:sz w:val="16"/>
                <w:szCs w:val="16"/>
              </w:rPr>
              <w:t xml:space="preserve"> par grozījumiem Komisijas Lēmumā C(2010) 8465 par lielo projektu "Vēsturiski piesārņoto vietu "Inčukalna </w:t>
            </w:r>
            <w:proofErr w:type="spellStart"/>
            <w:r w:rsidR="002528DD" w:rsidRPr="002528DD">
              <w:rPr>
                <w:rFonts w:ascii="Times New Roman" w:hAnsi="Times New Roman"/>
                <w:sz w:val="16"/>
                <w:szCs w:val="16"/>
              </w:rPr>
              <w:t>sērskābā</w:t>
            </w:r>
            <w:proofErr w:type="spellEnd"/>
            <w:r w:rsidR="002528DD" w:rsidRPr="002528DD">
              <w:rPr>
                <w:rFonts w:ascii="Times New Roman" w:hAnsi="Times New Roman"/>
                <w:sz w:val="16"/>
                <w:szCs w:val="16"/>
              </w:rPr>
              <w:t xml:space="preserve"> gudrona dīķi" sanācijas darbi", kas ir daļa no Eiropas Reģionālās attīstības fonda un Kohēzijas fonda strukturālās palīdzības darbības programmas ''Infrastruktūra un pakalpojumi" atbilstīgi konverģences mērķim Latvijā</w:t>
            </w:r>
            <w:r w:rsidR="002528D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EC698F6" w14:textId="77777777" w:rsidR="007C5718" w:rsidRDefault="007C571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3E709A9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Iznākuma rādītājam sasniegšanai paredzētais finansējums:</w:t>
            </w:r>
          </w:p>
          <w:p w14:paraId="3ADBA434" w14:textId="741C8EA6" w:rsidR="00FE16AE" w:rsidRPr="009434FD" w:rsidRDefault="00432A93" w:rsidP="00FE16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32A93">
              <w:rPr>
                <w:rFonts w:ascii="Times New Roman" w:hAnsi="Times New Roman"/>
                <w:sz w:val="16"/>
                <w:szCs w:val="16"/>
              </w:rPr>
              <w:t>29 277 750</w:t>
            </w:r>
            <w:r w:rsidR="00FE16AE" w:rsidRPr="009434FD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13BD738B" w14:textId="038C5D15" w:rsidR="00122EE3" w:rsidRPr="00D51594" w:rsidRDefault="00122EE3" w:rsidP="00D5159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531" w:type="dxa"/>
          </w:tcPr>
          <w:p w14:paraId="66065C88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Starpposma vērtība 2018. gadam:</w:t>
            </w:r>
          </w:p>
          <w:p w14:paraId="1D18C0B9" w14:textId="4E30597C" w:rsidR="00D946F2" w:rsidRPr="009434FD" w:rsidRDefault="00FE16AE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34FD">
              <w:rPr>
                <w:rFonts w:ascii="Times New Roman" w:hAnsi="Times New Roman"/>
                <w:sz w:val="16"/>
                <w:szCs w:val="16"/>
              </w:rPr>
              <w:t xml:space="preserve">2 926 000 </w:t>
            </w:r>
            <w:r w:rsidR="00FE398D" w:rsidRPr="009434FD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59A64196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A2F032A" w14:textId="5E79A570" w:rsidR="00D946F2" w:rsidRPr="00A3214F" w:rsidRDefault="00B3271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>Mērķis 2023. gadam (vienāds ar</w:t>
            </w:r>
            <w:r w:rsidR="00D946F2" w:rsidRPr="00A3214F">
              <w:rPr>
                <w:rFonts w:ascii="Times New Roman" w:hAnsi="Times New Roman"/>
                <w:i/>
                <w:sz w:val="16"/>
                <w:szCs w:val="16"/>
              </w:rPr>
              <w:t xml:space="preserve"> 100 % no SAM paredzētā kopējā finansējuma):</w:t>
            </w:r>
          </w:p>
          <w:p w14:paraId="58993CC5" w14:textId="4810CECC" w:rsidR="00D946F2" w:rsidRPr="009434FD" w:rsidRDefault="00432A93" w:rsidP="00A3214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32A93">
              <w:rPr>
                <w:rFonts w:ascii="Times New Roman" w:hAnsi="Times New Roman"/>
                <w:sz w:val="16"/>
                <w:szCs w:val="16"/>
              </w:rPr>
              <w:t>29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32A93">
              <w:rPr>
                <w:rFonts w:ascii="Times New Roman" w:hAnsi="Times New Roman"/>
                <w:sz w:val="16"/>
                <w:szCs w:val="16"/>
              </w:rPr>
              <w:t>277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432A93">
              <w:rPr>
                <w:rFonts w:ascii="Times New Roman" w:hAnsi="Times New Roman"/>
                <w:sz w:val="16"/>
                <w:szCs w:val="16"/>
              </w:rPr>
              <w:t>750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46F2" w:rsidRPr="009434FD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09BD3B98" w14:textId="77777777" w:rsidR="006A38F8" w:rsidRPr="00A3214F" w:rsidRDefault="006A38F8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BA3EA85" w14:textId="77777777" w:rsidR="00D946F2" w:rsidRPr="00A3214F" w:rsidRDefault="00D946F2" w:rsidP="00A321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i/>
                <w:sz w:val="16"/>
                <w:szCs w:val="16"/>
              </w:rPr>
              <w:t xml:space="preserve">Starpposma vērtības noteikšanas aprēķins: </w:t>
            </w:r>
          </w:p>
          <w:p w14:paraId="17286BE5" w14:textId="4D4DF9C0" w:rsidR="00AB74F8" w:rsidRDefault="00D946F2" w:rsidP="00B21A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>Starpposma vērtība noteikta</w:t>
            </w:r>
            <w:r w:rsidR="00281C29"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="00AB2860">
              <w:rPr>
                <w:rFonts w:ascii="Times New Roman" w:hAnsi="Times New Roman"/>
                <w:sz w:val="16"/>
                <w:szCs w:val="16"/>
              </w:rPr>
              <w:t>0</w:t>
            </w:r>
            <w:r w:rsidR="00281C29">
              <w:rPr>
                <w:rFonts w:ascii="Times New Roman" w:hAnsi="Times New Roman"/>
                <w:sz w:val="16"/>
                <w:szCs w:val="16"/>
              </w:rPr>
              <w:t>% apmērā no SAM paredzētā kopējā finansējuma</w:t>
            </w:r>
            <w:r w:rsidRPr="00A321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281C29">
              <w:rPr>
                <w:rFonts w:ascii="Times New Roman" w:hAnsi="Times New Roman"/>
                <w:sz w:val="16"/>
                <w:szCs w:val="16"/>
              </w:rPr>
              <w:t>pamatojoties uz indikatīvo projekta darbu izpildes gaitu un maksājumu apstiprināšanas kārtību</w:t>
            </w:r>
            <w:r w:rsidR="00AB286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FE4006E" w14:textId="77777777" w:rsidR="00B21A91" w:rsidRPr="00A3214F" w:rsidRDefault="00B21A91" w:rsidP="00281C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14:paraId="4C55F814" w14:textId="614DCC26" w:rsidR="00FA549B" w:rsidRDefault="00FA549B"/>
    <w:sectPr w:rsidR="00FA549B" w:rsidSect="00D946F2">
      <w:pgSz w:w="16838" w:h="11906" w:orient="landscape"/>
      <w:pgMar w:top="568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33A31" w14:textId="77777777" w:rsidR="00995F69" w:rsidRDefault="00995F69" w:rsidP="00D946F2">
      <w:pPr>
        <w:spacing w:after="0" w:line="240" w:lineRule="auto"/>
      </w:pPr>
      <w:r>
        <w:separator/>
      </w:r>
    </w:p>
  </w:endnote>
  <w:endnote w:type="continuationSeparator" w:id="0">
    <w:p w14:paraId="20A000B5" w14:textId="77777777" w:rsidR="00995F69" w:rsidRDefault="00995F69" w:rsidP="00D9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853C" w14:textId="77777777" w:rsidR="00995F69" w:rsidRDefault="00995F69" w:rsidP="00D946F2">
      <w:pPr>
        <w:spacing w:after="0" w:line="240" w:lineRule="auto"/>
      </w:pPr>
      <w:r>
        <w:separator/>
      </w:r>
    </w:p>
  </w:footnote>
  <w:footnote w:type="continuationSeparator" w:id="0">
    <w:p w14:paraId="514BF140" w14:textId="77777777" w:rsidR="00995F69" w:rsidRDefault="00995F69" w:rsidP="00D94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F21CA"/>
    <w:multiLevelType w:val="hybridMultilevel"/>
    <w:tmpl w:val="227EB7E0"/>
    <w:lvl w:ilvl="0" w:tplc="DE260682">
      <w:start w:val="1"/>
      <w:numFmt w:val="decimal"/>
      <w:lvlText w:val="%1)"/>
      <w:lvlJc w:val="left"/>
      <w:pPr>
        <w:ind w:left="34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66" w:hanging="360"/>
      </w:pPr>
    </w:lvl>
    <w:lvl w:ilvl="2" w:tplc="0426001B" w:tentative="1">
      <w:start w:val="1"/>
      <w:numFmt w:val="lowerRoman"/>
      <w:lvlText w:val="%3."/>
      <w:lvlJc w:val="right"/>
      <w:pPr>
        <w:ind w:left="1786" w:hanging="180"/>
      </w:pPr>
    </w:lvl>
    <w:lvl w:ilvl="3" w:tplc="0426000F" w:tentative="1">
      <w:start w:val="1"/>
      <w:numFmt w:val="decimal"/>
      <w:lvlText w:val="%4."/>
      <w:lvlJc w:val="left"/>
      <w:pPr>
        <w:ind w:left="2506" w:hanging="360"/>
      </w:pPr>
    </w:lvl>
    <w:lvl w:ilvl="4" w:tplc="04260019" w:tentative="1">
      <w:start w:val="1"/>
      <w:numFmt w:val="lowerLetter"/>
      <w:lvlText w:val="%5."/>
      <w:lvlJc w:val="left"/>
      <w:pPr>
        <w:ind w:left="3226" w:hanging="360"/>
      </w:pPr>
    </w:lvl>
    <w:lvl w:ilvl="5" w:tplc="0426001B" w:tentative="1">
      <w:start w:val="1"/>
      <w:numFmt w:val="lowerRoman"/>
      <w:lvlText w:val="%6."/>
      <w:lvlJc w:val="right"/>
      <w:pPr>
        <w:ind w:left="3946" w:hanging="180"/>
      </w:pPr>
    </w:lvl>
    <w:lvl w:ilvl="6" w:tplc="0426000F" w:tentative="1">
      <w:start w:val="1"/>
      <w:numFmt w:val="decimal"/>
      <w:lvlText w:val="%7."/>
      <w:lvlJc w:val="left"/>
      <w:pPr>
        <w:ind w:left="4666" w:hanging="360"/>
      </w:pPr>
    </w:lvl>
    <w:lvl w:ilvl="7" w:tplc="04260019" w:tentative="1">
      <w:start w:val="1"/>
      <w:numFmt w:val="lowerLetter"/>
      <w:lvlText w:val="%8."/>
      <w:lvlJc w:val="left"/>
      <w:pPr>
        <w:ind w:left="5386" w:hanging="360"/>
      </w:pPr>
    </w:lvl>
    <w:lvl w:ilvl="8" w:tplc="0426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" w15:restartNumberingAfterBreak="0">
    <w:nsid w:val="5A971888"/>
    <w:multiLevelType w:val="hybridMultilevel"/>
    <w:tmpl w:val="AA18C7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382392">
    <w:abstractNumId w:val="1"/>
  </w:num>
  <w:num w:numId="2" w16cid:durableId="314921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6F2"/>
    <w:rsid w:val="00032A16"/>
    <w:rsid w:val="0008636F"/>
    <w:rsid w:val="00107BD8"/>
    <w:rsid w:val="00122B4B"/>
    <w:rsid w:val="00122EE3"/>
    <w:rsid w:val="00132171"/>
    <w:rsid w:val="00152154"/>
    <w:rsid w:val="001755AE"/>
    <w:rsid w:val="001B5BB4"/>
    <w:rsid w:val="00225851"/>
    <w:rsid w:val="002528DD"/>
    <w:rsid w:val="00254BB2"/>
    <w:rsid w:val="00281C29"/>
    <w:rsid w:val="00301FD8"/>
    <w:rsid w:val="00337C2C"/>
    <w:rsid w:val="00341E4A"/>
    <w:rsid w:val="00385816"/>
    <w:rsid w:val="003B4818"/>
    <w:rsid w:val="003E4459"/>
    <w:rsid w:val="003F7C94"/>
    <w:rsid w:val="00416652"/>
    <w:rsid w:val="0042219A"/>
    <w:rsid w:val="00432A93"/>
    <w:rsid w:val="0045178C"/>
    <w:rsid w:val="0048252A"/>
    <w:rsid w:val="00490209"/>
    <w:rsid w:val="00494A51"/>
    <w:rsid w:val="004C67EA"/>
    <w:rsid w:val="00534AE5"/>
    <w:rsid w:val="00581A97"/>
    <w:rsid w:val="00624068"/>
    <w:rsid w:val="00626250"/>
    <w:rsid w:val="00631834"/>
    <w:rsid w:val="00641140"/>
    <w:rsid w:val="00655FD3"/>
    <w:rsid w:val="006A38F8"/>
    <w:rsid w:val="006D6512"/>
    <w:rsid w:val="00734598"/>
    <w:rsid w:val="0075092B"/>
    <w:rsid w:val="00750B73"/>
    <w:rsid w:val="0075460B"/>
    <w:rsid w:val="00757FBD"/>
    <w:rsid w:val="007737DC"/>
    <w:rsid w:val="007760CC"/>
    <w:rsid w:val="007C5718"/>
    <w:rsid w:val="007D20DD"/>
    <w:rsid w:val="008003E4"/>
    <w:rsid w:val="008178FF"/>
    <w:rsid w:val="0083144F"/>
    <w:rsid w:val="00907067"/>
    <w:rsid w:val="009434FD"/>
    <w:rsid w:val="009625A9"/>
    <w:rsid w:val="00977CB3"/>
    <w:rsid w:val="00995F69"/>
    <w:rsid w:val="009A1EC5"/>
    <w:rsid w:val="009F6D76"/>
    <w:rsid w:val="00A3214F"/>
    <w:rsid w:val="00A55EA3"/>
    <w:rsid w:val="00AB2860"/>
    <w:rsid w:val="00AB74F8"/>
    <w:rsid w:val="00AF41DE"/>
    <w:rsid w:val="00B07B6C"/>
    <w:rsid w:val="00B100E6"/>
    <w:rsid w:val="00B21A91"/>
    <w:rsid w:val="00B24F7F"/>
    <w:rsid w:val="00B32718"/>
    <w:rsid w:val="00BA7067"/>
    <w:rsid w:val="00BE3E43"/>
    <w:rsid w:val="00C3692E"/>
    <w:rsid w:val="00C42019"/>
    <w:rsid w:val="00C72D05"/>
    <w:rsid w:val="00C7578E"/>
    <w:rsid w:val="00C9016C"/>
    <w:rsid w:val="00CA5257"/>
    <w:rsid w:val="00CE74E9"/>
    <w:rsid w:val="00D10324"/>
    <w:rsid w:val="00D51594"/>
    <w:rsid w:val="00D6371F"/>
    <w:rsid w:val="00D83202"/>
    <w:rsid w:val="00D946F2"/>
    <w:rsid w:val="00D97FB7"/>
    <w:rsid w:val="00DA03FA"/>
    <w:rsid w:val="00DC3643"/>
    <w:rsid w:val="00E05E7E"/>
    <w:rsid w:val="00E5799A"/>
    <w:rsid w:val="00E6175E"/>
    <w:rsid w:val="00E86091"/>
    <w:rsid w:val="00E975CD"/>
    <w:rsid w:val="00EA253C"/>
    <w:rsid w:val="00F018D3"/>
    <w:rsid w:val="00F52471"/>
    <w:rsid w:val="00FA549B"/>
    <w:rsid w:val="00FD4080"/>
    <w:rsid w:val="00FE16AE"/>
    <w:rsid w:val="00FE398D"/>
    <w:rsid w:val="00FE5660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E7B1"/>
  <w15:docId w15:val="{D3C5E004-3D3C-4F60-B748-A3221450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6F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451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946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946F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946F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D9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46F2"/>
    <w:pPr>
      <w:ind w:left="720"/>
      <w:contextualSpacing/>
    </w:pPr>
  </w:style>
  <w:style w:type="table" w:styleId="TableGrid">
    <w:name w:val="Table Grid"/>
    <w:basedOn w:val="TableNormal"/>
    <w:uiPriority w:val="39"/>
    <w:rsid w:val="00D9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C6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67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C67E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7E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C67E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C67EA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5178C"/>
    <w:rPr>
      <w:rFonts w:eastAsia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432A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DEA860613EA764D817F892493A9F4E7" ma:contentTypeVersion="0" ma:contentTypeDescription="Izveidot jaunu dokumentu." ma:contentTypeScope="" ma:versionID="7ec00c100d33c5432cac3d74232d789e">
  <xsd:schema xmlns:xsd="http://www.w3.org/2001/XMLSchema" xmlns:p="http://schemas.microsoft.com/office/2006/metadata/properties" targetNamespace="http://schemas.microsoft.com/office/2006/metadata/properties" ma:root="true" ma:fieldsID="03f02128687e48d6f6cc7d7a99a2c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 ma:readOnly="true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4500F-417E-4307-B40B-98E2A257B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7B12A3-427C-49BD-95DF-4874380D9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689FF-A2B5-4D30-B1E1-EFB7B97635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2157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Alise Eglīte</dc:creator>
  <cp:lastModifiedBy>Evita Bāliņa</cp:lastModifiedBy>
  <cp:revision>4</cp:revision>
  <dcterms:created xsi:type="dcterms:W3CDTF">2023-05-30T06:36:00Z</dcterms:created>
  <dcterms:modified xsi:type="dcterms:W3CDTF">2023-05-30T10:37:00Z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0x010100CDEA860613EA764D817F892493A9F4E7</vt:lpwstr>
  </property>
</Properties>
</file>