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A62557" w14:textId="77777777" w:rsidR="00F80A86" w:rsidRPr="00CD080B" w:rsidRDefault="00F80A86" w:rsidP="00CD080B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18"/>
          <w:szCs w:val="18"/>
        </w:rPr>
      </w:pPr>
      <w:bookmarkStart w:id="0" w:name="_GoBack"/>
      <w:bookmarkEnd w:id="0"/>
      <w:r w:rsidRPr="00CD080B">
        <w:rPr>
          <w:rFonts w:ascii="Times New Roman" w:hAnsi="Times New Roman"/>
          <w:b/>
          <w:bCs/>
          <w:sz w:val="18"/>
          <w:szCs w:val="18"/>
        </w:rPr>
        <w:t xml:space="preserve">Tabula </w:t>
      </w:r>
      <w:r w:rsidR="006250CC" w:rsidRPr="00CD080B">
        <w:rPr>
          <w:rFonts w:ascii="Times New Roman" w:hAnsi="Times New Roman"/>
          <w:b/>
          <w:bCs/>
          <w:sz w:val="18"/>
          <w:szCs w:val="18"/>
        </w:rPr>
        <w:fldChar w:fldCharType="begin"/>
      </w:r>
      <w:r w:rsidRPr="00BD33F2">
        <w:rPr>
          <w:rFonts w:ascii="Times New Roman" w:hAnsi="Times New Roman"/>
          <w:b/>
          <w:bCs/>
          <w:sz w:val="18"/>
          <w:szCs w:val="18"/>
        </w:rPr>
        <w:instrText xml:space="preserve"> SEQ Tabula \* ARABIC </w:instrText>
      </w:r>
      <w:r w:rsidR="006250CC" w:rsidRPr="00CD080B">
        <w:rPr>
          <w:rFonts w:ascii="Times New Roman" w:hAnsi="Times New Roman"/>
          <w:b/>
          <w:bCs/>
          <w:sz w:val="18"/>
          <w:szCs w:val="18"/>
        </w:rPr>
        <w:fldChar w:fldCharType="separate"/>
      </w:r>
      <w:r w:rsidR="00A22766" w:rsidRPr="00CD080B">
        <w:rPr>
          <w:rFonts w:ascii="Times New Roman" w:hAnsi="Times New Roman"/>
          <w:b/>
          <w:bCs/>
          <w:noProof/>
          <w:sz w:val="18"/>
          <w:szCs w:val="18"/>
        </w:rPr>
        <w:t>1</w:t>
      </w:r>
      <w:r w:rsidR="006250CC" w:rsidRPr="00CD080B">
        <w:rPr>
          <w:rFonts w:ascii="Times New Roman" w:hAnsi="Times New Roman"/>
          <w:b/>
          <w:bCs/>
          <w:sz w:val="18"/>
          <w:szCs w:val="18"/>
        </w:rPr>
        <w:fldChar w:fldCharType="end"/>
      </w:r>
      <w:r w:rsidRPr="00CD080B">
        <w:rPr>
          <w:rFonts w:ascii="Times New Roman" w:hAnsi="Times New Roman"/>
          <w:b/>
          <w:bCs/>
          <w:sz w:val="18"/>
          <w:szCs w:val="18"/>
        </w:rPr>
        <w:t xml:space="preserve"> Rādītāju pase investīciju prioritātes specifiskajiem mērķiem</w:t>
      </w:r>
    </w:p>
    <w:p w14:paraId="0EF356B2" w14:textId="77777777" w:rsidR="00F80A86" w:rsidRPr="00CD080B" w:rsidRDefault="00F80A86" w:rsidP="00CD080B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18"/>
          <w:szCs w:val="18"/>
        </w:rPr>
      </w:pPr>
    </w:p>
    <w:tbl>
      <w:tblPr>
        <w:tblW w:w="1519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877"/>
        <w:gridCol w:w="2126"/>
        <w:gridCol w:w="3402"/>
        <w:gridCol w:w="4394"/>
        <w:gridCol w:w="2155"/>
      </w:tblGrid>
      <w:tr w:rsidR="00F80A86" w:rsidRPr="00BD33F2" w14:paraId="71CB8C73" w14:textId="77777777" w:rsidTr="00311F54">
        <w:tc>
          <w:tcPr>
            <w:tcW w:w="1242" w:type="dxa"/>
          </w:tcPr>
          <w:p w14:paraId="2851A735" w14:textId="77777777" w:rsidR="00F80A86" w:rsidRPr="00BA1B06" w:rsidRDefault="00F80A86" w:rsidP="00BD33F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Prioritārais virziens</w:t>
            </w:r>
          </w:p>
        </w:tc>
        <w:tc>
          <w:tcPr>
            <w:tcW w:w="1877" w:type="dxa"/>
          </w:tcPr>
          <w:p w14:paraId="5F886D1A" w14:textId="77777777" w:rsidR="00F80A86" w:rsidRPr="00BA1B06" w:rsidRDefault="00F80A86" w:rsidP="00BD33F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Investīciju prioritātes nosaukums</w:t>
            </w:r>
          </w:p>
        </w:tc>
        <w:tc>
          <w:tcPr>
            <w:tcW w:w="2126" w:type="dxa"/>
          </w:tcPr>
          <w:p w14:paraId="0FCE57EA" w14:textId="77777777" w:rsidR="00F80A86" w:rsidRPr="00BA1B06" w:rsidRDefault="00F80A86" w:rsidP="00BD33F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Specifiskie atbalsta mērķi (SAM)</w:t>
            </w:r>
          </w:p>
        </w:tc>
        <w:tc>
          <w:tcPr>
            <w:tcW w:w="3402" w:type="dxa"/>
          </w:tcPr>
          <w:p w14:paraId="7A0F5AD6" w14:textId="77777777" w:rsidR="00F80A86" w:rsidRPr="00BA1B06" w:rsidRDefault="00F80A86" w:rsidP="00BD33F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Rezultāta rādītāji</w:t>
            </w:r>
          </w:p>
        </w:tc>
        <w:tc>
          <w:tcPr>
            <w:tcW w:w="4394" w:type="dxa"/>
          </w:tcPr>
          <w:p w14:paraId="3A1CB1BD" w14:textId="77777777" w:rsidR="00F80A86" w:rsidRPr="00BA1B06" w:rsidRDefault="00F80A86" w:rsidP="00BD33F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Iznākuma rādītāji</w:t>
            </w:r>
          </w:p>
        </w:tc>
        <w:tc>
          <w:tcPr>
            <w:tcW w:w="2155" w:type="dxa"/>
          </w:tcPr>
          <w:p w14:paraId="79DB6C02" w14:textId="77777777" w:rsidR="00F80A86" w:rsidRPr="00BA1B06" w:rsidRDefault="00F80A86" w:rsidP="00BD33F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Finanšu rādītāji</w:t>
            </w:r>
            <w:r w:rsidR="00AD058B" w:rsidRPr="00BA1B06">
              <w:rPr>
                <w:rStyle w:val="FootnoteReference"/>
                <w:rFonts w:ascii="Times New Roman" w:hAnsi="Times New Roman"/>
                <w:b/>
                <w:color w:val="000000"/>
                <w:sz w:val="16"/>
                <w:szCs w:val="16"/>
              </w:rPr>
              <w:footnoteReference w:id="1"/>
            </w:r>
          </w:p>
        </w:tc>
      </w:tr>
      <w:tr w:rsidR="00F80A86" w:rsidRPr="00972524" w14:paraId="5007B16F" w14:textId="77777777" w:rsidTr="00311F54">
        <w:trPr>
          <w:trHeight w:val="274"/>
        </w:trPr>
        <w:tc>
          <w:tcPr>
            <w:tcW w:w="1242" w:type="dxa"/>
          </w:tcPr>
          <w:p w14:paraId="28D7FE35" w14:textId="77777777" w:rsidR="00F80A86" w:rsidRPr="00BA1B06" w:rsidRDefault="00F03AE5" w:rsidP="00CD080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BA1B0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 xml:space="preserve">5. </w:t>
            </w:r>
            <w:r w:rsidR="00F80A86" w:rsidRPr="00BA1B0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Vides aizsardzība un resursu izmantošanas efektivitāte</w:t>
            </w:r>
          </w:p>
        </w:tc>
        <w:tc>
          <w:tcPr>
            <w:tcW w:w="1877" w:type="dxa"/>
          </w:tcPr>
          <w:p w14:paraId="013FF66C" w14:textId="77777777" w:rsidR="00F80A86" w:rsidRPr="00BA1B06" w:rsidRDefault="00F03AE5" w:rsidP="00CD080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rFonts w:ascii="Times New Roman" w:eastAsia="Tahoma" w:hAnsi="Times New Roman"/>
                <w:color w:val="000000"/>
                <w:sz w:val="16"/>
                <w:szCs w:val="16"/>
              </w:rPr>
              <w:t xml:space="preserve">5.4. </w:t>
            </w:r>
            <w:r w:rsidR="00F80A86" w:rsidRPr="00BA1B06">
              <w:rPr>
                <w:rFonts w:ascii="Times New Roman" w:eastAsia="Tahoma" w:hAnsi="Times New Roman"/>
                <w:color w:val="000000"/>
                <w:sz w:val="16"/>
                <w:szCs w:val="16"/>
              </w:rPr>
              <w:t>Aizsargāt un atjaunot bioloģisko d</w:t>
            </w:r>
            <w:r w:rsidR="00DC77BD" w:rsidRPr="00BA1B06">
              <w:rPr>
                <w:rFonts w:ascii="Times New Roman" w:eastAsia="Tahoma" w:hAnsi="Times New Roman"/>
                <w:color w:val="000000"/>
                <w:sz w:val="16"/>
                <w:szCs w:val="16"/>
              </w:rPr>
              <w:t>audzveidību un augsni un veicinā</w:t>
            </w:r>
            <w:r w:rsidR="00F80A86" w:rsidRPr="00BA1B06">
              <w:rPr>
                <w:rFonts w:ascii="Times New Roman" w:eastAsia="Tahoma" w:hAnsi="Times New Roman"/>
                <w:color w:val="000000"/>
                <w:sz w:val="16"/>
                <w:szCs w:val="16"/>
              </w:rPr>
              <w:t xml:space="preserve">t ekosistēmu </w:t>
            </w:r>
            <w:r w:rsidR="00462624" w:rsidRPr="00BA1B06">
              <w:rPr>
                <w:rFonts w:ascii="Times New Roman" w:eastAsia="Tahoma" w:hAnsi="Times New Roman"/>
                <w:color w:val="000000"/>
                <w:sz w:val="16"/>
                <w:szCs w:val="16"/>
              </w:rPr>
              <w:t>pakalpojumus, tostarp ar tīkla “</w:t>
            </w:r>
            <w:proofErr w:type="spellStart"/>
            <w:r w:rsidR="00F80A86" w:rsidRPr="00BA1B06">
              <w:rPr>
                <w:rFonts w:ascii="Times New Roman" w:eastAsia="Tahoma" w:hAnsi="Times New Roman"/>
                <w:color w:val="000000"/>
                <w:sz w:val="16"/>
                <w:szCs w:val="16"/>
              </w:rPr>
              <w:t>Natura</w:t>
            </w:r>
            <w:proofErr w:type="spellEnd"/>
            <w:r w:rsidR="00F80A86" w:rsidRPr="00BA1B06">
              <w:rPr>
                <w:rFonts w:ascii="Times New Roman" w:eastAsia="Tahoma" w:hAnsi="Times New Roman"/>
                <w:color w:val="000000"/>
                <w:sz w:val="16"/>
                <w:szCs w:val="16"/>
              </w:rPr>
              <w:t> 2000” un zaļās infrastruktūras palīdzību</w:t>
            </w:r>
          </w:p>
        </w:tc>
        <w:tc>
          <w:tcPr>
            <w:tcW w:w="2126" w:type="dxa"/>
          </w:tcPr>
          <w:p w14:paraId="0DDD456F" w14:textId="77777777" w:rsidR="00F80A86" w:rsidRPr="00BA1B06" w:rsidRDefault="00F80A86" w:rsidP="00BD33F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5.4.2.</w:t>
            </w:r>
            <w:r w:rsidR="005C5C7A"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SAM</w:t>
            </w:r>
          </w:p>
          <w:p w14:paraId="7CBD6FA4" w14:textId="77777777" w:rsidR="00F80A86" w:rsidRPr="00BA1B06" w:rsidRDefault="00F80A86" w:rsidP="00BD33F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Nodrošināt vides monitoringa kontroles sistēmas attīstību un savlaicīgu vides risku novēršanu</w:t>
            </w:r>
            <w:r w:rsidR="00F03AE5"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, kā arī sabiedrības līdzdalību vides pārvaldībā</w:t>
            </w:r>
          </w:p>
          <w:p w14:paraId="0A70D464" w14:textId="77777777" w:rsidR="00F80A86" w:rsidRPr="00BA1B06" w:rsidRDefault="00F80A86" w:rsidP="00BD33F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(KF)</w:t>
            </w:r>
          </w:p>
          <w:p w14:paraId="2590A81E" w14:textId="77777777" w:rsidR="005949A7" w:rsidRPr="00BA1B06" w:rsidRDefault="005949A7" w:rsidP="00BD33F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398E4BAF" w14:textId="77777777" w:rsidR="00BB1110" w:rsidRPr="00BA1B06" w:rsidRDefault="005C5C7A" w:rsidP="00BD33F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5.4.2.1.pasākums: Bioloģiskās daudzveidības saglabāšanas un ekosistēmu aizsardzības priekšnoteikumi</w:t>
            </w:r>
          </w:p>
          <w:p w14:paraId="22FA48AD" w14:textId="77777777" w:rsidR="00BB1110" w:rsidRPr="00BA1B06" w:rsidRDefault="00BB1110" w:rsidP="00BD33F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76C2CEFD" w14:textId="77777777" w:rsidR="003169EB" w:rsidRPr="00BA1B06" w:rsidRDefault="005C5C7A" w:rsidP="00BD33F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5.4.2.2.pasākums: </w:t>
            </w:r>
          </w:p>
          <w:p w14:paraId="2A8BBE51" w14:textId="77777777" w:rsidR="005C5C7A" w:rsidRPr="00BA1B06" w:rsidRDefault="005C5C7A" w:rsidP="00BD33F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Vides monitoringa un kontroles sistēmas attīstība un sabiedrības līdzdalības vides pārvaldībā veicināšana</w:t>
            </w:r>
          </w:p>
        </w:tc>
        <w:tc>
          <w:tcPr>
            <w:tcW w:w="3402" w:type="dxa"/>
          </w:tcPr>
          <w:p w14:paraId="4E10ED63" w14:textId="77777777" w:rsidR="005C5C7A" w:rsidRPr="00BA1B06" w:rsidRDefault="005C5C7A" w:rsidP="00BD33F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  <w:t>5.4.2.2.pasākums</w:t>
            </w:r>
          </w:p>
          <w:p w14:paraId="7A6FBF23" w14:textId="77777777" w:rsidR="00F80A86" w:rsidRPr="00BA1B06" w:rsidRDefault="00F80A86" w:rsidP="00BD33F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  <w:t>Nosaukums un mērvienība</w:t>
            </w:r>
            <w:r w:rsidRPr="00BA1B0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:</w:t>
            </w:r>
          </w:p>
          <w:p w14:paraId="2C048931" w14:textId="77777777" w:rsidR="00AD058B" w:rsidRPr="00BA1B06" w:rsidRDefault="00A677FD" w:rsidP="00AD05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r.</w:t>
            </w:r>
            <w:r w:rsidR="00AD058B"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5.4.2.a </w:t>
            </w:r>
            <w:r w:rsidR="0073001C"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Vides m</w:t>
            </w:r>
            <w:r w:rsidR="00AD058B"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onitoringa vietu skaits, kurās tiek veikts vides monitorings atbilstoši direktīvu prasībām</w:t>
            </w:r>
          </w:p>
          <w:p w14:paraId="450FF0CC" w14:textId="77777777" w:rsidR="00F80A86" w:rsidRPr="00BA1B06" w:rsidRDefault="00F80A86" w:rsidP="007A40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0F958D57" w14:textId="77777777" w:rsidR="00F80A86" w:rsidRPr="00BA1B06" w:rsidRDefault="00F80A86" w:rsidP="007A40A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  <w:t>Definīcija:</w:t>
            </w:r>
          </w:p>
          <w:p w14:paraId="775C042A" w14:textId="77777777" w:rsidR="000959CC" w:rsidRPr="00BA1B06" w:rsidRDefault="00454F29" w:rsidP="007A40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Direktīvu* </w:t>
            </w:r>
            <w:r w:rsidR="000959CC"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prasībām atbilstošu vides monitoringa vietu, kas ļauj novērtēt vides kvalitāti dažāda veida monitoringa programmās, skaits Latvijā.</w:t>
            </w:r>
          </w:p>
          <w:p w14:paraId="2018BCFD" w14:textId="77777777" w:rsidR="00F80A86" w:rsidRPr="00BA1B06" w:rsidRDefault="00F80A86" w:rsidP="007A40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701707F4" w14:textId="77777777" w:rsidR="00F80A86" w:rsidRPr="00BA1B06" w:rsidRDefault="00F80A86" w:rsidP="007A40A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  <w:t>Bāzes vērtība un tās noteikšanas gads</w:t>
            </w:r>
            <w:r w:rsidRPr="00BA1B0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:</w:t>
            </w:r>
          </w:p>
          <w:p w14:paraId="3E9917DF" w14:textId="77777777" w:rsidR="00F80A86" w:rsidRPr="00BA1B06" w:rsidRDefault="00F80A86" w:rsidP="007A40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927 (2012.</w:t>
            </w:r>
            <w:r w:rsidR="00911F6B"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gadā)</w:t>
            </w:r>
          </w:p>
          <w:p w14:paraId="1235A626" w14:textId="77777777" w:rsidR="00F80A86" w:rsidRPr="00BA1B06" w:rsidRDefault="00F80A86" w:rsidP="007A40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2F33B501" w14:textId="77777777" w:rsidR="00F80A86" w:rsidRPr="00BA1B06" w:rsidRDefault="00F80A86" w:rsidP="007A40A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  <w:t>Datu avots</w:t>
            </w:r>
            <w:r w:rsidRPr="00BA1B0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:</w:t>
            </w:r>
          </w:p>
          <w:p w14:paraId="6DB3BFDA" w14:textId="77777777" w:rsidR="00F80A86" w:rsidRPr="00BA1B06" w:rsidRDefault="00F80A86" w:rsidP="007A40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LVĢMC </w:t>
            </w:r>
            <w:r w:rsidR="00B333FF"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un citu vides jomas uzraugošo iestāžu </w:t>
            </w: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dati, projekta un finansējuma saņēmēja dati</w:t>
            </w:r>
          </w:p>
          <w:p w14:paraId="23D3FBE4" w14:textId="77777777" w:rsidR="00F80A86" w:rsidRPr="00BA1B06" w:rsidRDefault="00F80A86" w:rsidP="007A40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167330AC" w14:textId="77777777" w:rsidR="00F80A86" w:rsidRPr="00BA1B06" w:rsidRDefault="00F80A86" w:rsidP="007A40A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  <w:t>Apkopošanas biežums un ieguves metodoloģija:</w:t>
            </w:r>
          </w:p>
          <w:p w14:paraId="5C1EFDF7" w14:textId="77777777" w:rsidR="00F80A86" w:rsidRPr="00BA1B06" w:rsidRDefault="00454F29" w:rsidP="007A40A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Reizi gadā</w:t>
            </w:r>
          </w:p>
          <w:p w14:paraId="2C01D183" w14:textId="77777777" w:rsidR="00F80A86" w:rsidRPr="00BA1B06" w:rsidRDefault="00F80A86" w:rsidP="007A40A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Rādītāja vērtība tiks noteikta pēc izveidoto monitoringu punkta skaita Latvijā, kuru uzskaiti un darbību nodrošina LVĢMC</w:t>
            </w:r>
            <w:r w:rsidR="005B7DE5"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un citas vides institūcijas</w:t>
            </w:r>
          </w:p>
          <w:p w14:paraId="5CCF4DD4" w14:textId="77777777" w:rsidR="00462624" w:rsidRPr="00BA1B06" w:rsidRDefault="00462624" w:rsidP="00462624">
            <w:pPr>
              <w:pStyle w:val="ListParagraph"/>
              <w:spacing w:after="0" w:line="240" w:lineRule="auto"/>
              <w:ind w:left="176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17E9A38C" w14:textId="77777777" w:rsidR="00695000" w:rsidRPr="00BA1B06" w:rsidRDefault="00695000" w:rsidP="00930D07">
            <w:pPr>
              <w:pStyle w:val="ListParagraph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  <w:t>Darbība, kas liek uzskatīt mērķa vērtību par izpildītu:</w:t>
            </w: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Monitoringa vietu skaits nav atkarīgs tikai no fondu finansējuma. Rādītāju izpilde tiek uzskaitīta kumulatīvi no staciju nodošanas ekspluatācijā un to darbības uzsākšanas.</w:t>
            </w:r>
          </w:p>
          <w:p w14:paraId="7933EA0D" w14:textId="77777777" w:rsidR="00F80A86" w:rsidRPr="00BA1B06" w:rsidRDefault="00F80A86" w:rsidP="007A40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57A6FDC4" w14:textId="77777777" w:rsidR="00F80A86" w:rsidRPr="00BA1B06" w:rsidRDefault="00F80A86" w:rsidP="007A40A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  <w:t>Mērķis 2023</w:t>
            </w:r>
            <w:r w:rsidRPr="00BA1B0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:</w:t>
            </w:r>
          </w:p>
          <w:p w14:paraId="3C622A96" w14:textId="77777777" w:rsidR="00F80A86" w:rsidRPr="00BA1B06" w:rsidRDefault="00F80A86" w:rsidP="007A40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1100 -</w:t>
            </w:r>
            <w:r w:rsidR="00DC77BD"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1120</w:t>
            </w:r>
          </w:p>
          <w:p w14:paraId="1D0882ED" w14:textId="77777777" w:rsidR="00F80A86" w:rsidRPr="00BA1B06" w:rsidRDefault="00F80A86" w:rsidP="007A40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6A938E0B" w14:textId="77777777" w:rsidR="00F80A86" w:rsidRPr="00BA1B06" w:rsidRDefault="00F80A86" w:rsidP="007A40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  <w:t>Mērķa vērtības noteikšanas principi/metodoloģija</w:t>
            </w: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:</w:t>
            </w:r>
          </w:p>
          <w:p w14:paraId="39BD34EE" w14:textId="77777777" w:rsidR="00454F29" w:rsidRPr="00BA1B06" w:rsidRDefault="00F80A86" w:rsidP="007A40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Atbilstoši </w:t>
            </w:r>
            <w:r w:rsidR="00F359CC"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Vides politikas pamatnostādnēm 2013.-2020.</w:t>
            </w:r>
            <w:r w:rsidR="00911F6B"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5719EA" w:rsidRPr="00BA1B06">
              <w:rPr>
                <w:rFonts w:ascii="Times New Roman" w:hAnsi="Times New Roman"/>
                <w:color w:val="000000"/>
                <w:sz w:val="16"/>
                <w:szCs w:val="16"/>
                <w:lang w:eastAsia="lv-LV"/>
              </w:rPr>
              <w:t>gadam</w:t>
            </w:r>
            <w:r w:rsidR="00F359CC" w:rsidRPr="00BA1B06">
              <w:rPr>
                <w:rFonts w:ascii="Times New Roman" w:hAnsi="Times New Roman"/>
                <w:color w:val="000000"/>
                <w:sz w:val="16"/>
                <w:szCs w:val="16"/>
                <w:lang w:eastAsia="lv-LV"/>
              </w:rPr>
              <w:t xml:space="preserve"> un V</w:t>
            </w:r>
            <w:r w:rsidRPr="00BA1B06">
              <w:rPr>
                <w:rFonts w:ascii="Times New Roman" w:hAnsi="Times New Roman"/>
                <w:color w:val="000000"/>
                <w:sz w:val="16"/>
                <w:szCs w:val="16"/>
                <w:lang w:eastAsia="lv-LV"/>
              </w:rPr>
              <w:t>ARAM</w:t>
            </w:r>
            <w:r w:rsidR="005C4396" w:rsidRPr="00BA1B06">
              <w:rPr>
                <w:rFonts w:ascii="Times New Roman" w:hAnsi="Times New Roman"/>
                <w:color w:val="000000"/>
                <w:sz w:val="16"/>
                <w:szCs w:val="16"/>
                <w:lang w:eastAsia="lv-LV"/>
              </w:rPr>
              <w:t>,</w:t>
            </w:r>
            <w:r w:rsidRPr="00BA1B06">
              <w:rPr>
                <w:rFonts w:ascii="Times New Roman" w:hAnsi="Times New Roman"/>
                <w:color w:val="000000"/>
                <w:sz w:val="16"/>
                <w:szCs w:val="16"/>
                <w:lang w:eastAsia="lv-LV"/>
              </w:rPr>
              <w:t xml:space="preserve"> LVĢMC</w:t>
            </w:r>
            <w:r w:rsidR="005C4396" w:rsidRPr="00BA1B06">
              <w:rPr>
                <w:rFonts w:ascii="Times New Roman" w:hAnsi="Times New Roman"/>
                <w:color w:val="000000"/>
                <w:sz w:val="16"/>
                <w:szCs w:val="16"/>
                <w:lang w:eastAsia="lv-LV"/>
              </w:rPr>
              <w:t xml:space="preserve"> un citu vides jomas uzraugošo iestāžu</w:t>
            </w:r>
            <w:r w:rsidRPr="00BA1B06">
              <w:rPr>
                <w:rFonts w:ascii="Times New Roman" w:hAnsi="Times New Roman"/>
                <w:color w:val="000000"/>
                <w:sz w:val="16"/>
                <w:szCs w:val="16"/>
                <w:lang w:eastAsia="lv-LV"/>
              </w:rPr>
              <w:t xml:space="preserve"> veiktajai vajadzību apzināšanai atbilstoši ES direktīvu prasībām attiecībā uz vides </w:t>
            </w:r>
            <w:r w:rsidR="005C4396" w:rsidRPr="00BA1B06">
              <w:rPr>
                <w:rFonts w:ascii="Times New Roman" w:hAnsi="Times New Roman"/>
                <w:color w:val="000000"/>
                <w:sz w:val="16"/>
                <w:szCs w:val="16"/>
                <w:lang w:eastAsia="lv-LV"/>
              </w:rPr>
              <w:t>monitoringu.</w:t>
            </w:r>
          </w:p>
          <w:p w14:paraId="2AA46EBF" w14:textId="77777777" w:rsidR="00454F29" w:rsidRPr="00BA1B06" w:rsidRDefault="00454F29" w:rsidP="007A40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01395887" w14:textId="77777777" w:rsidR="00F80A86" w:rsidRPr="00BA1B06" w:rsidRDefault="00454F29" w:rsidP="007A40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*piemēram, Direktīva 2000/60/EK, direktīva 2008/56/EK, </w:t>
            </w:r>
            <w:r w:rsidRPr="00BA1B06">
              <w:rPr>
                <w:rFonts w:ascii="Times New Roman" w:hAnsi="Times New Roman"/>
                <w:color w:val="000000"/>
                <w:sz w:val="16"/>
                <w:szCs w:val="16"/>
                <w:lang w:eastAsia="lv-LV"/>
              </w:rPr>
              <w:t xml:space="preserve">direktīva 2006/118/EK, </w:t>
            </w: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direktīva 2008/105/EK, direktīva 2013/39/ES, direktīva </w:t>
            </w: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2009/90/EK, </w:t>
            </w:r>
            <w:r w:rsidRPr="00BA1B06">
              <w:rPr>
                <w:rFonts w:ascii="Times New Roman" w:hAnsi="Times New Roman"/>
                <w:color w:val="000000"/>
                <w:sz w:val="16"/>
                <w:szCs w:val="16"/>
                <w:lang w:eastAsia="lv-LV"/>
              </w:rPr>
              <w:t xml:space="preserve">direktīva 98/83/EK, direktīva </w:t>
            </w: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91/271/EEK, direktīva </w:t>
            </w:r>
            <w:r w:rsidRPr="00BA1B0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2007/60</w:t>
            </w: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/EK, direktīva 91/676/EEK, Direktīva 2008/50/EK, direktīva 2004/107/EK, direktīva 2000/60/EK, direktīva 2008/105/EK, direktīva 2013/39/ES, Direktīva 2009/147/EK, direktīva 92/43/</w:t>
            </w:r>
            <w:smartTag w:uri="schemas-tilde-lv/tildestengine" w:element="currency">
              <w:smartTagPr>
                <w:attr w:name="currency_text" w:val="EEK"/>
                <w:attr w:name="currency_value" w:val="1"/>
                <w:attr w:name="currency_key" w:val="EEK"/>
                <w:attr w:name="currency_id" w:val="14"/>
              </w:smartTagPr>
              <w:smartTag w:uri="schemas-tilde-lv/tildestengine" w:element="currency2">
                <w:smartTagPr>
                  <w:attr w:name="currency_id" w:val="14"/>
                  <w:attr w:name="currency_key" w:val="EEK"/>
                  <w:attr w:name="currency_value" w:val="1"/>
                  <w:attr w:name="currency_text" w:val="EEK"/>
                </w:smartTagPr>
                <w:r w:rsidRPr="00BA1B06">
                  <w:rPr>
                    <w:rFonts w:ascii="Times New Roman" w:hAnsi="Times New Roman"/>
                    <w:color w:val="000000"/>
                    <w:sz w:val="16"/>
                    <w:szCs w:val="16"/>
                  </w:rPr>
                  <w:t xml:space="preserve">EEK, direktīva </w:t>
                </w:r>
              </w:smartTag>
            </w:smartTag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2008/56/EK, Direktīva </w:t>
            </w:r>
            <w:r w:rsidRPr="00BA1B0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2007/2</w:t>
            </w: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/EK, </w:t>
            </w:r>
            <w:r w:rsidRPr="00BA1B06">
              <w:rPr>
                <w:rStyle w:val="Strong"/>
                <w:rFonts w:ascii="Times New Roman" w:hAnsi="Times New Roman"/>
                <w:b w:val="0"/>
                <w:color w:val="000000"/>
                <w:sz w:val="16"/>
                <w:szCs w:val="16"/>
              </w:rPr>
              <w:t>direktīva 2008/56/EK, direktīva</w:t>
            </w:r>
            <w:r w:rsidRPr="00BA1B06">
              <w:rPr>
                <w:rStyle w:val="Strong"/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2000/60/EK, direktīva 91/676/EEK, </w:t>
            </w:r>
            <w:r w:rsidRPr="00BA1B0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direktīva 2013/59/Euratom</w:t>
            </w:r>
          </w:p>
        </w:tc>
        <w:tc>
          <w:tcPr>
            <w:tcW w:w="4394" w:type="dxa"/>
          </w:tcPr>
          <w:p w14:paraId="1005DCEE" w14:textId="77777777" w:rsidR="007620FE" w:rsidRPr="00BA1B06" w:rsidRDefault="007620FE" w:rsidP="007A40A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  <w:lastRenderedPageBreak/>
              <w:t>5.4.2.1.pasākums</w:t>
            </w:r>
          </w:p>
          <w:p w14:paraId="4BF95E8B" w14:textId="77777777" w:rsidR="007620FE" w:rsidRPr="00BA1B06" w:rsidRDefault="007620FE" w:rsidP="007A40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38ACD5CC" w14:textId="77777777" w:rsidR="007620FE" w:rsidRPr="00BA1B06" w:rsidRDefault="007620FE" w:rsidP="007620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Nosaukums un mērvienība</w:t>
            </w: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:</w:t>
            </w:r>
          </w:p>
          <w:p w14:paraId="5992C66E" w14:textId="77777777" w:rsidR="007620FE" w:rsidRPr="00BA1B06" w:rsidRDefault="007620FE" w:rsidP="007A40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i.5.4.2.b Īpaši aizsargājamo dabas teritoriju dabas aizsardzības plāni</w:t>
            </w:r>
            <w:r w:rsidR="00992F57"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(skaits)</w:t>
            </w:r>
          </w:p>
          <w:p w14:paraId="6ED34333" w14:textId="77777777" w:rsidR="007620FE" w:rsidRPr="00BA1B06" w:rsidRDefault="007620FE" w:rsidP="007A40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39C5E22E" w14:textId="77777777" w:rsidR="00992F57" w:rsidRPr="00BA1B06" w:rsidRDefault="00992F57" w:rsidP="007A40A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Definīcija:</w:t>
            </w:r>
          </w:p>
          <w:p w14:paraId="7782D2DA" w14:textId="77777777" w:rsidR="00992F57" w:rsidRPr="00BA1B06" w:rsidRDefault="00992F57" w:rsidP="007A40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Dabas aizsardzības plāni, kas projekta ietvaros izstrādāti īpaši aizsargājamām dabas teritorijām</w:t>
            </w:r>
          </w:p>
          <w:p w14:paraId="70DFF4B8" w14:textId="77777777" w:rsidR="00992F57" w:rsidRPr="00BA1B06" w:rsidRDefault="00992F57" w:rsidP="007A40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5ABC3D0A" w14:textId="77777777" w:rsidR="00992F57" w:rsidRPr="00BA1B06" w:rsidRDefault="00992F57" w:rsidP="00992F57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Datu avots:</w:t>
            </w:r>
          </w:p>
          <w:p w14:paraId="027E8EC4" w14:textId="77777777" w:rsidR="00992F57" w:rsidRPr="00BA1B06" w:rsidRDefault="00992F57" w:rsidP="00992F5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color w:val="000000"/>
              </w:rPr>
              <w:t xml:space="preserve"> </w:t>
            </w:r>
            <w:r w:rsidR="00EE54EB"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• </w:t>
            </w: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Dabas aizsardzības pārvaldes dati, dabas datu informācijas sistēma “Ozols”</w:t>
            </w:r>
          </w:p>
          <w:p w14:paraId="4C37986B" w14:textId="77777777" w:rsidR="00992F57" w:rsidRPr="00BA1B06" w:rsidRDefault="00EE54EB" w:rsidP="00992F5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• </w:t>
            </w:r>
            <w:r w:rsidR="00992F57"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Projektu dati</w:t>
            </w:r>
          </w:p>
          <w:p w14:paraId="0BDF28F4" w14:textId="77777777" w:rsidR="00EE54EB" w:rsidRPr="00BA1B06" w:rsidRDefault="00EE54EB" w:rsidP="00992F5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0B32C839" w14:textId="77777777" w:rsidR="00EE54EB" w:rsidRPr="00BA1B06" w:rsidRDefault="00EE54EB" w:rsidP="00EE54E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Apkopošanas biežums un ieguves metodoloģija:</w:t>
            </w:r>
          </w:p>
          <w:p w14:paraId="3637F34C" w14:textId="77777777" w:rsidR="00EE54EB" w:rsidRPr="00BA1B06" w:rsidRDefault="00EE54EB" w:rsidP="00EE54E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•  Katru gadu</w:t>
            </w:r>
          </w:p>
          <w:p w14:paraId="1B7D741E" w14:textId="77777777" w:rsidR="00EE54EB" w:rsidRPr="00BA1B06" w:rsidRDefault="00EE54EB" w:rsidP="00EE54E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• Rādītāja vērtība tiks noteikta pēc dabas datu informācijas sistēmā “Ozols” ievadītās informācijas</w:t>
            </w:r>
            <w:r w:rsidR="007D70D8"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vai kompetentās iestādes – Dabas aizsardzības pārvaldes datiem</w:t>
            </w: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. </w:t>
            </w:r>
          </w:p>
          <w:p w14:paraId="36DC5DA5" w14:textId="77777777" w:rsidR="00695000" w:rsidRPr="00BA1B06" w:rsidRDefault="00695000" w:rsidP="00EE54E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3F014601" w14:textId="7BAA01E2" w:rsidR="00695000" w:rsidRPr="00BA1B06" w:rsidRDefault="00695000" w:rsidP="00EE54E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Darbība, kas liek uzskatīt mērķa vērtību par izpildītu:</w:t>
            </w: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Aizsardzības plānus veido un apstiprina tekoši visa perioda laikā. Par pabeigtu uzskata </w:t>
            </w:r>
            <w:r w:rsidR="006C77BB">
              <w:rPr>
                <w:rFonts w:ascii="Times New Roman" w:hAnsi="Times New Roman"/>
                <w:color w:val="000000"/>
                <w:sz w:val="16"/>
                <w:szCs w:val="16"/>
              </w:rPr>
              <w:t>dabas</w:t>
            </w: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aizsardzības plānu, kurš </w:t>
            </w:r>
            <w:r w:rsidR="00C17A41">
              <w:rPr>
                <w:rFonts w:ascii="Times New Roman" w:hAnsi="Times New Roman"/>
                <w:color w:val="000000"/>
                <w:sz w:val="16"/>
                <w:szCs w:val="16"/>
              </w:rPr>
              <w:t>publicēts Dabas aizsardzības pārvaldes tīmekļvietnē</w:t>
            </w:r>
            <w:r w:rsidR="00C17A41"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C17A4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un dati </w:t>
            </w: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ievietot</w:t>
            </w:r>
            <w:r w:rsidR="00C17A41">
              <w:rPr>
                <w:rFonts w:ascii="Times New Roman" w:hAnsi="Times New Roman"/>
                <w:color w:val="000000"/>
                <w:sz w:val="16"/>
                <w:szCs w:val="16"/>
              </w:rPr>
              <w:t>i dabas datu informācijas</w:t>
            </w: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sistēmā.</w:t>
            </w:r>
          </w:p>
          <w:p w14:paraId="2EE75DA5" w14:textId="77777777" w:rsidR="00992F57" w:rsidRPr="00BA1B06" w:rsidRDefault="00992F57" w:rsidP="007A40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7D004F24" w14:textId="77777777" w:rsidR="00EE54EB" w:rsidRPr="00BA1B06" w:rsidRDefault="00EE54EB" w:rsidP="00EE54E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Mērķis 2023:</w:t>
            </w:r>
          </w:p>
          <w:p w14:paraId="0FE90DDE" w14:textId="44172CD5" w:rsidR="00EE54EB" w:rsidRPr="00B1610D" w:rsidRDefault="00EE54EB" w:rsidP="00EE54E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1610D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 w:rsidR="00B1610D" w:rsidRPr="00B1610D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  <w:r w:rsidRPr="00B1610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īpaši aizsargājamo dabas teritoriju dabas aizsardzības plāni</w:t>
            </w:r>
          </w:p>
          <w:p w14:paraId="7AC5C5CD" w14:textId="77777777" w:rsidR="00EE54EB" w:rsidRPr="00B1610D" w:rsidRDefault="00EE54EB" w:rsidP="00EE54E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1042469B" w14:textId="77777777" w:rsidR="00EE54EB" w:rsidRPr="00B1610D" w:rsidRDefault="00EE54EB" w:rsidP="00EE54E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1610D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Iznākuma rādītājam sasniegšanai paredzētais finansējums:</w:t>
            </w:r>
          </w:p>
          <w:p w14:paraId="599B68F8" w14:textId="3E579BB4" w:rsidR="00EE54EB" w:rsidRPr="00BA1B06" w:rsidRDefault="00EE54EB" w:rsidP="00EE54E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1610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5.4.2.1. – </w:t>
            </w:r>
            <w:r w:rsidR="00746984" w:rsidRPr="00746984">
              <w:rPr>
                <w:rFonts w:ascii="Times New Roman" w:hAnsi="Times New Roman"/>
                <w:color w:val="000000"/>
                <w:sz w:val="16"/>
                <w:szCs w:val="16"/>
              </w:rPr>
              <w:t>10 263 088</w:t>
            </w:r>
            <w:r w:rsidRPr="00B1610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EUR</w:t>
            </w:r>
          </w:p>
          <w:p w14:paraId="3A16E8EE" w14:textId="77777777" w:rsidR="00EE54EB" w:rsidRPr="00BA1B06" w:rsidRDefault="00EE54EB" w:rsidP="007A40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1BF2CF73" w14:textId="77777777" w:rsidR="00EE54EB" w:rsidRPr="00BA1B06" w:rsidRDefault="00EE54EB" w:rsidP="00EE54E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Nosaukums un mērvienība</w:t>
            </w: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:</w:t>
            </w:r>
          </w:p>
          <w:p w14:paraId="4D0D3236" w14:textId="77777777" w:rsidR="00EE54EB" w:rsidRPr="00BA1B06" w:rsidRDefault="00EE54EB" w:rsidP="00EE54E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i.5.4.2.c </w:t>
            </w:r>
            <w:r w:rsidR="00203607"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Eiropas Savienības nozīmes īpaši aizsargājamo sugu aizsardzības plāni </w:t>
            </w: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(skaits)</w:t>
            </w:r>
          </w:p>
          <w:p w14:paraId="0E4C2DBE" w14:textId="77777777" w:rsidR="00EE54EB" w:rsidRPr="00BA1B06" w:rsidRDefault="00EE54EB" w:rsidP="00EE54E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1B83899F" w14:textId="77777777" w:rsidR="00EE54EB" w:rsidRPr="00BA1B06" w:rsidRDefault="00EE54EB" w:rsidP="00EE54E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Definīcija:</w:t>
            </w:r>
          </w:p>
          <w:p w14:paraId="20436A10" w14:textId="77777777" w:rsidR="00EE54EB" w:rsidRPr="00BA1B06" w:rsidRDefault="00203607" w:rsidP="00EE54E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Sugu aizsardzības plāni, kas projekta ietvaros izstrādāti Eiropas Savienības nozīmes īpaši aizsargājamām sugām</w:t>
            </w:r>
          </w:p>
          <w:p w14:paraId="55489E5C" w14:textId="77777777" w:rsidR="00203607" w:rsidRPr="00BA1B06" w:rsidRDefault="00203607" w:rsidP="00EE54E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5DF01240" w14:textId="77777777" w:rsidR="00EE54EB" w:rsidRPr="00BA1B06" w:rsidRDefault="00EE54EB" w:rsidP="00EE54E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Datu avots:</w:t>
            </w:r>
          </w:p>
          <w:p w14:paraId="5DF9117E" w14:textId="77777777" w:rsidR="00EE54EB" w:rsidRPr="00BA1B06" w:rsidRDefault="00EE54EB" w:rsidP="00EE54E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color w:val="000000"/>
              </w:rPr>
              <w:t xml:space="preserve"> </w:t>
            </w: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• Dabas aizsardzības pārvaldes dati, dabas datu informācijas sistēma “Ozols”</w:t>
            </w:r>
          </w:p>
          <w:p w14:paraId="3720EC5C" w14:textId="77777777" w:rsidR="00EE54EB" w:rsidRPr="00BA1B06" w:rsidRDefault="00EE54EB" w:rsidP="00EE54E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• Projektu dati</w:t>
            </w:r>
          </w:p>
          <w:p w14:paraId="05185A3F" w14:textId="77777777" w:rsidR="00EE54EB" w:rsidRPr="00BA1B06" w:rsidRDefault="00EE54EB" w:rsidP="00EE54E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124AC7AE" w14:textId="77777777" w:rsidR="00EE54EB" w:rsidRPr="00BA1B06" w:rsidRDefault="00EE54EB" w:rsidP="00EE54E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Apkopošanas biežums un ieguves metodoloģija:</w:t>
            </w:r>
          </w:p>
          <w:p w14:paraId="59DB18CE" w14:textId="77777777" w:rsidR="00EE54EB" w:rsidRPr="00BA1B06" w:rsidRDefault="00EE54EB" w:rsidP="00EE54E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•  Katru gadu</w:t>
            </w:r>
          </w:p>
          <w:p w14:paraId="45537253" w14:textId="77777777" w:rsidR="00EE54EB" w:rsidRPr="00BA1B06" w:rsidRDefault="00EE54EB" w:rsidP="00EE54E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• Rādītāja vērtība tiks noteikta pēc dabas datu informācijas sistēmā “Ozols” ievadītās informācijas</w:t>
            </w:r>
            <w:r w:rsidR="007D70D8"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vai kompetentās iestādes – Dabas aizsardzības pārvaldes datiem.</w:t>
            </w: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  <w:p w14:paraId="2D55ABAD" w14:textId="77777777" w:rsidR="00695000" w:rsidRPr="00BA1B06" w:rsidRDefault="00695000" w:rsidP="00EE54E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4AA7D74D" w14:textId="00B9D030" w:rsidR="00695000" w:rsidRPr="00BA1B06" w:rsidRDefault="00695000" w:rsidP="00EE54E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 xml:space="preserve">Darbība, kas liek uzskatīt mērķa vērtību par izpildītu: </w:t>
            </w: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Aizsardzības plānus veido un apstiprina tekoši visa perioda laikā. Par pabeigtu </w:t>
            </w:r>
            <w:r w:rsidRPr="006C77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uzskata </w:t>
            </w:r>
            <w:r w:rsidR="006C77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dabas </w:t>
            </w: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aizsardzības plānu, kurš </w:t>
            </w:r>
            <w:r w:rsidR="00C17A41">
              <w:rPr>
                <w:rFonts w:ascii="Times New Roman" w:hAnsi="Times New Roman"/>
                <w:color w:val="000000"/>
                <w:sz w:val="16"/>
                <w:szCs w:val="16"/>
              </w:rPr>
              <w:t>publicēts Dabas aizsardzības pārvaldes tīmekļvietnē un dati</w:t>
            </w:r>
            <w:r w:rsidR="00C17A41"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ievietot</w:t>
            </w:r>
            <w:r w:rsidR="00C17A41">
              <w:rPr>
                <w:rFonts w:ascii="Times New Roman" w:hAnsi="Times New Roman"/>
                <w:color w:val="000000"/>
                <w:sz w:val="16"/>
                <w:szCs w:val="16"/>
              </w:rPr>
              <w:t>i dabas datu informācijas</w:t>
            </w: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sistēmā.</w:t>
            </w:r>
          </w:p>
          <w:p w14:paraId="23FB7B71" w14:textId="77777777" w:rsidR="00EE54EB" w:rsidRPr="00BA1B06" w:rsidRDefault="00EE54EB" w:rsidP="00EE54E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01BB690F" w14:textId="77777777" w:rsidR="00EE54EB" w:rsidRPr="00BA1B06" w:rsidRDefault="00EE54EB" w:rsidP="00EE54E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Mērķis 2023:</w:t>
            </w:r>
          </w:p>
          <w:p w14:paraId="0DBA111C" w14:textId="77777777" w:rsidR="00EE54EB" w:rsidRPr="00BA1B06" w:rsidRDefault="00203607" w:rsidP="00EE54E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506A1">
              <w:rPr>
                <w:rFonts w:ascii="Times New Roman" w:hAnsi="Times New Roman"/>
                <w:color w:val="000000"/>
                <w:sz w:val="16"/>
                <w:szCs w:val="16"/>
              </w:rPr>
              <w:t>5 Eiropas Savienības nozīmes īpaši aizsargājamo sugu aizsardzības plāni</w:t>
            </w:r>
          </w:p>
          <w:p w14:paraId="362F1C8B" w14:textId="77777777" w:rsidR="00203607" w:rsidRPr="00BA1B06" w:rsidRDefault="00203607" w:rsidP="00EE54E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4866C1E9" w14:textId="2823E88E" w:rsidR="00EE54EB" w:rsidRPr="00746984" w:rsidRDefault="00EE54EB" w:rsidP="00EE54E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746984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Iznākuma rādītāja sasniegšanai paredzētais finansējums:</w:t>
            </w:r>
          </w:p>
          <w:p w14:paraId="2929D113" w14:textId="41FD1199" w:rsidR="00EE54EB" w:rsidRPr="00BA1B06" w:rsidRDefault="00EE54EB" w:rsidP="00EE54E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4698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5.4.2.1. – </w:t>
            </w:r>
            <w:r w:rsidR="00746984" w:rsidRPr="00746984">
              <w:rPr>
                <w:rFonts w:ascii="Times New Roman" w:hAnsi="Times New Roman"/>
                <w:color w:val="000000"/>
                <w:sz w:val="16"/>
                <w:szCs w:val="16"/>
              </w:rPr>
              <w:t>10 263 088</w:t>
            </w:r>
            <w:r w:rsidRPr="0074698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EUR</w:t>
            </w:r>
          </w:p>
          <w:p w14:paraId="4446A00B" w14:textId="77777777" w:rsidR="00A677FD" w:rsidRPr="00BA1B06" w:rsidRDefault="00A677FD" w:rsidP="00EE54E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64768D2D" w14:textId="77777777" w:rsidR="00EE54EB" w:rsidRPr="00BA1B06" w:rsidRDefault="00EE54EB" w:rsidP="007A40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3312E69E" w14:textId="77777777" w:rsidR="004F042C" w:rsidRPr="00BA1B06" w:rsidRDefault="004F042C" w:rsidP="007A40A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  <w:t>5.4.2.2.pasākums</w:t>
            </w:r>
          </w:p>
          <w:p w14:paraId="77260B1E" w14:textId="77777777" w:rsidR="00F80A86" w:rsidRPr="00BA1B06" w:rsidRDefault="00A677FD" w:rsidP="007A40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i.</w:t>
            </w:r>
            <w:r w:rsidR="00F03AE5"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5.4.2.</w:t>
            </w:r>
            <w:r w:rsidR="00343617"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F03AE5"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F80A86"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Atbilstoši direktīvu prasībām īstenotas monitoringa programmas (</w:t>
            </w: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jomas</w:t>
            </w:r>
            <w:r w:rsidR="00F80A86"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)</w:t>
            </w:r>
          </w:p>
          <w:p w14:paraId="0985884B" w14:textId="77777777" w:rsidR="00F80A86" w:rsidRPr="00BA1B06" w:rsidRDefault="00F80A86" w:rsidP="007A40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62CA6B9A" w14:textId="77777777" w:rsidR="00F80A86" w:rsidRPr="00BA1B06" w:rsidRDefault="00F80A86" w:rsidP="007A40A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Definīcija:</w:t>
            </w:r>
          </w:p>
          <w:p w14:paraId="0A8EE24B" w14:textId="77777777" w:rsidR="00F80A86" w:rsidRPr="00BA1B06" w:rsidRDefault="00F80A86" w:rsidP="007A40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Vides monitoringa programmu skaits, kurās veikti uzlabojumi un nodrošināta to atbilstība direktīvu prasībām.  </w:t>
            </w:r>
          </w:p>
          <w:p w14:paraId="268C0794" w14:textId="77777777" w:rsidR="00F80A86" w:rsidRPr="00BA1B06" w:rsidRDefault="00F80A86" w:rsidP="007A40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650B724F" w14:textId="77777777" w:rsidR="00F80A86" w:rsidRPr="00BA1B06" w:rsidRDefault="00F80A86" w:rsidP="007A40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Datu avots</w:t>
            </w: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:</w:t>
            </w:r>
          </w:p>
          <w:p w14:paraId="032D2DB9" w14:textId="77777777" w:rsidR="00F80A86" w:rsidRPr="00BA1B06" w:rsidRDefault="00F80A86" w:rsidP="007A40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LVĢMC dati, projekta un finansējuma saņēmēja dati</w:t>
            </w:r>
          </w:p>
          <w:p w14:paraId="773FD0B2" w14:textId="77777777" w:rsidR="00F80A86" w:rsidRPr="00BA1B06" w:rsidRDefault="00F80A86" w:rsidP="007A40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6636293C" w14:textId="77777777" w:rsidR="00F80A86" w:rsidRPr="00BA1B06" w:rsidRDefault="00F80A86" w:rsidP="007A40A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Apkopošanas biežums un ieguves metodoloģija:</w:t>
            </w:r>
          </w:p>
          <w:p w14:paraId="46D8DB35" w14:textId="77777777" w:rsidR="00F80A86" w:rsidRPr="00BA1B06" w:rsidRDefault="00F80A86" w:rsidP="007A40A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Katru gadu</w:t>
            </w:r>
          </w:p>
          <w:p w14:paraId="085E5620" w14:textId="77777777" w:rsidR="00F80A86" w:rsidRPr="00BA1B06" w:rsidRDefault="00F80A86" w:rsidP="007A40A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Rādītāja vērtība tiks noteikta pēc </w:t>
            </w:r>
            <w:r w:rsidR="007D70D8"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uzlaboto vides </w:t>
            </w: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monitoringa </w:t>
            </w:r>
            <w:r w:rsidR="007D70D8"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programmu skaita, lai veicinātu to atbilstību ES direktīvu prasībām šādās jomās: gaiss, ūdens, augsne, bioloģiskā daudzveidība</w:t>
            </w:r>
            <w:r w:rsidR="00B333FF"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(s</w:t>
            </w: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askaņā ar LVĢMC </w:t>
            </w:r>
            <w:r w:rsidR="00B333FF"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un citu vides jomas uzraugošo iestāžu </w:t>
            </w: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datiem</w:t>
            </w:r>
            <w:r w:rsidR="00B333FF"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)</w:t>
            </w: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  <w:p w14:paraId="261AC33F" w14:textId="77777777" w:rsidR="0073001C" w:rsidRPr="00BA1B06" w:rsidRDefault="0073001C" w:rsidP="0073001C">
            <w:pPr>
              <w:pStyle w:val="ListParagraph"/>
              <w:spacing w:after="0" w:line="240" w:lineRule="auto"/>
              <w:ind w:left="176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6BC11583" w14:textId="77777777" w:rsidR="00AA78F8" w:rsidRPr="00BA1B06" w:rsidRDefault="00695000" w:rsidP="007A40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 xml:space="preserve">Darbība, kas liek uzskatīt mērķa vērtību par izpildītu: </w:t>
            </w:r>
            <w:r w:rsidR="00AA78F8"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pēc pietiekamu monitoringa staciju tīkla izveides sāks ieviest monitoringa programmas, kuru vērtības tiks sasniegtas un vērtētas plānošanas perioda beigās</w:t>
            </w:r>
          </w:p>
          <w:p w14:paraId="69632352" w14:textId="77777777" w:rsidR="00AA78F8" w:rsidRPr="00BA1B06" w:rsidRDefault="00AA78F8" w:rsidP="007A40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1B4EEDD0" w14:textId="77777777" w:rsidR="00F80A86" w:rsidRPr="00BA1B06" w:rsidRDefault="00F80A86" w:rsidP="007A40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Mērķis 2023</w:t>
            </w: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:</w:t>
            </w:r>
          </w:p>
          <w:p w14:paraId="3E06030E" w14:textId="77777777" w:rsidR="00F80A86" w:rsidRPr="00BA1B06" w:rsidRDefault="00F80A86" w:rsidP="007A40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 </w:t>
            </w:r>
          </w:p>
          <w:p w14:paraId="07AFF64C" w14:textId="77777777" w:rsidR="00F80A86" w:rsidRPr="00BA1B06" w:rsidRDefault="00F80A86" w:rsidP="007A40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04887CA8" w14:textId="77777777" w:rsidR="00F80A86" w:rsidRPr="00BA1B06" w:rsidRDefault="00F80A86" w:rsidP="007A40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Mērķa vērtības noteikšanas principi/metodoloģija</w:t>
            </w: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:</w:t>
            </w:r>
          </w:p>
          <w:p w14:paraId="0322F19B" w14:textId="77777777" w:rsidR="00F80A86" w:rsidRPr="00BA1B06" w:rsidRDefault="00F80A86" w:rsidP="007A40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Atbilstoši VARAM un LVĢMC veiktajai vajadzību apzināšanai atbilstoši ES direktīvu prasībām attiecībā uz vides </w:t>
            </w:r>
            <w:r w:rsidR="00544D6C"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monitoringu</w:t>
            </w:r>
          </w:p>
          <w:p w14:paraId="6E9B801A" w14:textId="77777777" w:rsidR="007E5755" w:rsidRPr="00BA1B06" w:rsidRDefault="007E5755" w:rsidP="007E57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5E8E5983" w14:textId="77777777" w:rsidR="00972958" w:rsidRPr="00BA1B06" w:rsidRDefault="00972958" w:rsidP="009729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Iznākuma rādītājam sasniegšanai paredzētais finansējums</w:t>
            </w: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:</w:t>
            </w:r>
          </w:p>
          <w:p w14:paraId="160CCEEF" w14:textId="04AE146D" w:rsidR="007E5755" w:rsidRPr="00BA1B06" w:rsidRDefault="00462624" w:rsidP="007A40A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5.4.2.2. </w:t>
            </w:r>
            <w:r w:rsidR="00C9216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– </w:t>
            </w:r>
            <w:r w:rsidR="006E3BD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20 589 </w:t>
            </w:r>
            <w:r w:rsidR="00266566">
              <w:rPr>
                <w:rFonts w:ascii="Times New Roman" w:hAnsi="Times New Roman"/>
                <w:color w:val="000000"/>
                <w:sz w:val="16"/>
                <w:szCs w:val="16"/>
              </w:rPr>
              <w:t>654</w:t>
            </w:r>
            <w:r w:rsidR="00972958" w:rsidRPr="0074698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EUR</w:t>
            </w:r>
          </w:p>
        </w:tc>
        <w:tc>
          <w:tcPr>
            <w:tcW w:w="2155" w:type="dxa"/>
          </w:tcPr>
          <w:p w14:paraId="046B6039" w14:textId="77777777" w:rsidR="00F80A86" w:rsidRPr="00BA1B06" w:rsidRDefault="00F80A86" w:rsidP="007A40A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  <w:lastRenderedPageBreak/>
              <w:t>Starpposma vērtība 2018. gadam:</w:t>
            </w:r>
          </w:p>
          <w:p w14:paraId="2657236E" w14:textId="77777777" w:rsidR="00CD080B" w:rsidRDefault="007F62F1" w:rsidP="00AC70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Kopā: </w:t>
            </w:r>
          </w:p>
          <w:p w14:paraId="77F6F9B1" w14:textId="77777777" w:rsidR="00E2096E" w:rsidRPr="00A07F07" w:rsidRDefault="00E2096E" w:rsidP="00E2096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  <w:lang w:val="x-none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3 569 279 EUR </w:t>
            </w:r>
            <w:r w:rsidR="00A07F07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 w:rsidRPr="005E220F">
              <w:rPr>
                <w:rFonts w:ascii="Times New Roman" w:hAnsi="Times New Roman"/>
                <w:sz w:val="16"/>
                <w:szCs w:val="16"/>
              </w:rPr>
              <w:t xml:space="preserve">saskaņā ar </w:t>
            </w:r>
            <w:r>
              <w:rPr>
                <w:rFonts w:ascii="Times New Roman" w:hAnsi="Times New Roman"/>
                <w:sz w:val="16"/>
                <w:szCs w:val="16"/>
              </w:rPr>
              <w:t>4.grozījumiem Darbības programmā “Izaugsme un nodarbinātība”</w:t>
            </w:r>
            <w:r w:rsidR="00A07F07">
              <w:rPr>
                <w:rFonts w:ascii="Times New Roman" w:hAnsi="Times New Roman"/>
                <w:sz w:val="16"/>
                <w:szCs w:val="16"/>
                <w:lang w:val="x-none"/>
              </w:rPr>
              <w:t>)</w:t>
            </w:r>
          </w:p>
          <w:p w14:paraId="58D5E71F" w14:textId="77777777" w:rsidR="00E2096E" w:rsidRPr="00BA1B06" w:rsidRDefault="00E2096E" w:rsidP="00AC704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211078CA" w14:textId="77777777" w:rsidR="00286AA8" w:rsidRPr="00BA1B06" w:rsidRDefault="00286AA8" w:rsidP="00A443D1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</w:p>
          <w:p w14:paraId="0FF69FC6" w14:textId="77777777" w:rsidR="00F80A86" w:rsidRPr="00BA1B06" w:rsidRDefault="00F80A86" w:rsidP="009A4A9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  <w:t>Mērķis 2</w:t>
            </w:r>
            <w:r w:rsidR="00911F6B" w:rsidRPr="00BA1B06"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  <w:t>023. gadam (vienāds ar 100 % no</w:t>
            </w:r>
            <w:r w:rsidRPr="00BA1B06"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  <w:t xml:space="preserve"> SAM paredzētā kopējā finansējuma):</w:t>
            </w:r>
          </w:p>
          <w:p w14:paraId="035C1FDD" w14:textId="25523DA4" w:rsidR="00F80A86" w:rsidRPr="00BA1B06" w:rsidRDefault="007F62F1" w:rsidP="009A4A9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0C2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Kopā: </w:t>
            </w:r>
            <w:r w:rsidR="00C01623" w:rsidRPr="00530C20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 xml:space="preserve"> </w:t>
            </w:r>
            <w:r w:rsidR="005D264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30 </w:t>
            </w:r>
            <w:r w:rsidR="006E3BD8">
              <w:rPr>
                <w:rFonts w:ascii="Times New Roman" w:hAnsi="Times New Roman"/>
                <w:color w:val="000000"/>
                <w:sz w:val="16"/>
                <w:szCs w:val="16"/>
              </w:rPr>
              <w:t>852 742</w:t>
            </w:r>
            <w:r w:rsidR="00C01623" w:rsidRPr="00530C2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530C20">
              <w:rPr>
                <w:rFonts w:ascii="Times New Roman" w:hAnsi="Times New Roman"/>
                <w:color w:val="000000"/>
                <w:sz w:val="16"/>
                <w:szCs w:val="16"/>
              </w:rPr>
              <w:t>EUR</w:t>
            </w:r>
            <w:r w:rsidRPr="00BA1B06" w:rsidDel="007F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  <w:p w14:paraId="003F05DB" w14:textId="77777777" w:rsidR="007D4646" w:rsidRPr="00BA1B06" w:rsidRDefault="007D4646" w:rsidP="009A4A9E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</w:p>
          <w:p w14:paraId="0CD04840" w14:textId="77777777" w:rsidR="00F80A86" w:rsidRPr="00BA1B06" w:rsidRDefault="00F80A86" w:rsidP="00247E9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  <w:t>Starpposma vērtības noteikšanas aprēķins:</w:t>
            </w:r>
          </w:p>
          <w:p w14:paraId="2D7080BE" w14:textId="77777777" w:rsidR="00F80A86" w:rsidRPr="00BA1B06" w:rsidRDefault="00F80A86" w:rsidP="00247E9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</w:pP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Noteiktā vērība starpposma</w:t>
            </w:r>
            <w:r w:rsidR="00DC77BD"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mērķim balstīta uz VARAM 2007.–</w:t>
            </w: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2013.</w:t>
            </w:r>
            <w:r w:rsidR="00911F6B"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gada plānošana</w:t>
            </w:r>
            <w:r w:rsidR="00462624"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s perioda 3.5.1.4. aktivitātes “</w:t>
            </w: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Vides monitoringa </w:t>
            </w:r>
            <w:r w:rsidR="00462624"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un kontroles sistēmas attīstība”</w:t>
            </w:r>
            <w:r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finanšu progresu</w:t>
            </w:r>
            <w:r w:rsidR="00F359CC"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(uz 2010.</w:t>
            </w:r>
            <w:r w:rsidR="00911F6B"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F359CC"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gada beigām, kas atbilst plānotajai starpposma vērtībai 2018.</w:t>
            </w:r>
            <w:r w:rsidR="00911F6B"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F359CC" w:rsidRPr="00BA1B06">
              <w:rPr>
                <w:rFonts w:ascii="Times New Roman" w:hAnsi="Times New Roman"/>
                <w:color w:val="000000"/>
                <w:sz w:val="16"/>
                <w:szCs w:val="16"/>
              </w:rPr>
              <w:t>gadā, ievērojot paredzēto SAM uzsākšanas laiku.</w:t>
            </w:r>
          </w:p>
        </w:tc>
      </w:tr>
    </w:tbl>
    <w:p w14:paraId="522ED7A9" w14:textId="77777777" w:rsidR="00BB1110" w:rsidRDefault="00BB1110" w:rsidP="00CD080B"/>
    <w:sectPr w:rsidR="00BB1110" w:rsidSect="00930D07">
      <w:pgSz w:w="16838" w:h="11906" w:orient="landscape"/>
      <w:pgMar w:top="851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616D9F" w14:textId="77777777" w:rsidR="00874EA0" w:rsidRDefault="00874EA0" w:rsidP="00AD058B">
      <w:pPr>
        <w:spacing w:after="0" w:line="240" w:lineRule="auto"/>
      </w:pPr>
      <w:r>
        <w:separator/>
      </w:r>
    </w:p>
  </w:endnote>
  <w:endnote w:type="continuationSeparator" w:id="0">
    <w:p w14:paraId="4B062E34" w14:textId="77777777" w:rsidR="00874EA0" w:rsidRDefault="00874EA0" w:rsidP="00AD0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9B9CA" w14:textId="77777777" w:rsidR="00874EA0" w:rsidRDefault="00874EA0" w:rsidP="00AD058B">
      <w:pPr>
        <w:spacing w:after="0" w:line="240" w:lineRule="auto"/>
      </w:pPr>
      <w:r>
        <w:separator/>
      </w:r>
    </w:p>
  </w:footnote>
  <w:footnote w:type="continuationSeparator" w:id="0">
    <w:p w14:paraId="7B1FB1B5" w14:textId="77777777" w:rsidR="00874EA0" w:rsidRDefault="00874EA0" w:rsidP="00AD058B">
      <w:pPr>
        <w:spacing w:after="0" w:line="240" w:lineRule="auto"/>
      </w:pPr>
      <w:r>
        <w:continuationSeparator/>
      </w:r>
    </w:p>
  </w:footnote>
  <w:footnote w:id="1">
    <w:p w14:paraId="568B5110" w14:textId="77777777" w:rsidR="0012572C" w:rsidRPr="003644AA" w:rsidRDefault="00AD058B" w:rsidP="0012572C">
      <w:pPr>
        <w:pStyle w:val="FootnoteText"/>
        <w:jc w:val="both"/>
        <w:rPr>
          <w:rFonts w:ascii="Times New Roman" w:hAnsi="Times New Roman"/>
          <w:color w:val="000000"/>
          <w:sz w:val="16"/>
          <w:szCs w:val="16"/>
          <w:lang w:eastAsia="lv-LV"/>
        </w:rPr>
      </w:pPr>
      <w:r>
        <w:rPr>
          <w:rStyle w:val="FootnoteReference"/>
        </w:rPr>
        <w:footnoteRef/>
      </w:r>
      <w:r>
        <w:t xml:space="preserve"> </w:t>
      </w:r>
      <w:r w:rsidR="00646136" w:rsidRPr="003644AA">
        <w:rPr>
          <w:rFonts w:ascii="Times New Roman" w:hAnsi="Times New Roman"/>
          <w:color w:val="000000"/>
          <w:sz w:val="16"/>
          <w:szCs w:val="16"/>
          <w:lang w:eastAsia="lv-LV"/>
        </w:rPr>
        <w:t>Finanšu rādītāju mērvienība</w:t>
      </w:r>
      <w:r w:rsidR="002863F1" w:rsidRPr="003644AA">
        <w:rPr>
          <w:rFonts w:ascii="Times New Roman" w:hAnsi="Times New Roman"/>
          <w:color w:val="000000"/>
          <w:sz w:val="16"/>
          <w:szCs w:val="16"/>
          <w:lang w:eastAsia="lv-LV"/>
        </w:rPr>
        <w:t xml:space="preserve">- </w:t>
      </w:r>
      <w:r w:rsidR="00646136" w:rsidRPr="003644AA">
        <w:rPr>
          <w:rFonts w:ascii="Times New Roman" w:hAnsi="Times New Roman"/>
          <w:color w:val="000000"/>
          <w:sz w:val="16"/>
          <w:szCs w:val="16"/>
          <w:lang w:eastAsia="lv-LV"/>
        </w:rPr>
        <w:t xml:space="preserve"> Starpposma vērtība 2018. gadam ir attiecināmie izdevumi EUR sertificējošās iestādes uzskaites sistēmā līdz 30.06.2019. sertificētie izdevumi, kas finansējuma saņēmējiem radušies līdz 31.12.2018. Starpposma vērtības noteikšanā nedrīkst iekļaut snieguma rezerves apjomu 6 %, kamēr mērķis nosakāms iekļaujot rezerves apjomu.</w:t>
      </w:r>
    </w:p>
    <w:p w14:paraId="39B1B844" w14:textId="77777777" w:rsidR="00AD058B" w:rsidRPr="003644AA" w:rsidRDefault="00AD058B">
      <w:pPr>
        <w:pStyle w:val="FootnoteText"/>
        <w:rPr>
          <w:rFonts w:ascii="Times New Roman" w:hAnsi="Times New Roman"/>
          <w:color w:val="000000"/>
          <w:sz w:val="16"/>
          <w:szCs w:val="16"/>
          <w:lang w:eastAsia="lv-LV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950C5"/>
    <w:multiLevelType w:val="multilevel"/>
    <w:tmpl w:val="BFE8D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EC20E5E"/>
    <w:multiLevelType w:val="hybridMultilevel"/>
    <w:tmpl w:val="BE4E422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A86"/>
    <w:rsid w:val="00016CBA"/>
    <w:rsid w:val="00023895"/>
    <w:rsid w:val="00041961"/>
    <w:rsid w:val="00054A81"/>
    <w:rsid w:val="00080019"/>
    <w:rsid w:val="000959CC"/>
    <w:rsid w:val="000A1978"/>
    <w:rsid w:val="0012572C"/>
    <w:rsid w:val="00173E64"/>
    <w:rsid w:val="001E79F8"/>
    <w:rsid w:val="001F71D2"/>
    <w:rsid w:val="001F7C55"/>
    <w:rsid w:val="00203607"/>
    <w:rsid w:val="00247E95"/>
    <w:rsid w:val="0025222B"/>
    <w:rsid w:val="0026379E"/>
    <w:rsid w:val="00266566"/>
    <w:rsid w:val="002834F5"/>
    <w:rsid w:val="002863F1"/>
    <w:rsid w:val="00286AA8"/>
    <w:rsid w:val="00296A11"/>
    <w:rsid w:val="002A40EE"/>
    <w:rsid w:val="00311F54"/>
    <w:rsid w:val="003169EB"/>
    <w:rsid w:val="00343617"/>
    <w:rsid w:val="003644AA"/>
    <w:rsid w:val="003B48AA"/>
    <w:rsid w:val="00426E09"/>
    <w:rsid w:val="00427FFD"/>
    <w:rsid w:val="00454F29"/>
    <w:rsid w:val="00462624"/>
    <w:rsid w:val="004636A7"/>
    <w:rsid w:val="0048057F"/>
    <w:rsid w:val="00490550"/>
    <w:rsid w:val="004B052D"/>
    <w:rsid w:val="004B3559"/>
    <w:rsid w:val="004B6CF7"/>
    <w:rsid w:val="004D22EB"/>
    <w:rsid w:val="004D3987"/>
    <w:rsid w:val="004F042C"/>
    <w:rsid w:val="004F4E0B"/>
    <w:rsid w:val="00514062"/>
    <w:rsid w:val="00530C20"/>
    <w:rsid w:val="00544D6C"/>
    <w:rsid w:val="005620C0"/>
    <w:rsid w:val="005719EA"/>
    <w:rsid w:val="0058190F"/>
    <w:rsid w:val="005949A7"/>
    <w:rsid w:val="005A6BA2"/>
    <w:rsid w:val="005B7DE5"/>
    <w:rsid w:val="005C4396"/>
    <w:rsid w:val="005C5C7A"/>
    <w:rsid w:val="005D2646"/>
    <w:rsid w:val="005E0DC1"/>
    <w:rsid w:val="006250CC"/>
    <w:rsid w:val="00646136"/>
    <w:rsid w:val="00691FA5"/>
    <w:rsid w:val="00695000"/>
    <w:rsid w:val="006B77E1"/>
    <w:rsid w:val="006C77BB"/>
    <w:rsid w:val="006E3BD8"/>
    <w:rsid w:val="006F607B"/>
    <w:rsid w:val="0070604C"/>
    <w:rsid w:val="007136F9"/>
    <w:rsid w:val="0073001C"/>
    <w:rsid w:val="00742ACE"/>
    <w:rsid w:val="00746984"/>
    <w:rsid w:val="00746E2F"/>
    <w:rsid w:val="007620FE"/>
    <w:rsid w:val="007918E2"/>
    <w:rsid w:val="007A40AB"/>
    <w:rsid w:val="007D4646"/>
    <w:rsid w:val="007D6F4B"/>
    <w:rsid w:val="007D70D8"/>
    <w:rsid w:val="007E5755"/>
    <w:rsid w:val="007F21A0"/>
    <w:rsid w:val="007F62F1"/>
    <w:rsid w:val="008578A9"/>
    <w:rsid w:val="00874EA0"/>
    <w:rsid w:val="008A3610"/>
    <w:rsid w:val="008D6481"/>
    <w:rsid w:val="0091100E"/>
    <w:rsid w:val="00911F6B"/>
    <w:rsid w:val="00916CE4"/>
    <w:rsid w:val="00930D07"/>
    <w:rsid w:val="00956F73"/>
    <w:rsid w:val="009656CF"/>
    <w:rsid w:val="00965C1A"/>
    <w:rsid w:val="00972958"/>
    <w:rsid w:val="00992F57"/>
    <w:rsid w:val="009A3FFC"/>
    <w:rsid w:val="009A4A9E"/>
    <w:rsid w:val="009A6830"/>
    <w:rsid w:val="009D2144"/>
    <w:rsid w:val="009D4CF2"/>
    <w:rsid w:val="009E5A18"/>
    <w:rsid w:val="00A07F07"/>
    <w:rsid w:val="00A22766"/>
    <w:rsid w:val="00A443D1"/>
    <w:rsid w:val="00A65168"/>
    <w:rsid w:val="00A677FD"/>
    <w:rsid w:val="00A70DC3"/>
    <w:rsid w:val="00A95E58"/>
    <w:rsid w:val="00AA78F8"/>
    <w:rsid w:val="00AC7042"/>
    <w:rsid w:val="00AD058B"/>
    <w:rsid w:val="00B158C8"/>
    <w:rsid w:val="00B1610D"/>
    <w:rsid w:val="00B333FF"/>
    <w:rsid w:val="00B43F87"/>
    <w:rsid w:val="00B506A1"/>
    <w:rsid w:val="00B654C1"/>
    <w:rsid w:val="00BA1B06"/>
    <w:rsid w:val="00BB1110"/>
    <w:rsid w:val="00BD1DCE"/>
    <w:rsid w:val="00BD33F2"/>
    <w:rsid w:val="00C01623"/>
    <w:rsid w:val="00C17A41"/>
    <w:rsid w:val="00C51DE7"/>
    <w:rsid w:val="00C618E1"/>
    <w:rsid w:val="00C9216D"/>
    <w:rsid w:val="00CC1474"/>
    <w:rsid w:val="00CD080B"/>
    <w:rsid w:val="00CE73FD"/>
    <w:rsid w:val="00CF1FFC"/>
    <w:rsid w:val="00D05CEA"/>
    <w:rsid w:val="00D37DF8"/>
    <w:rsid w:val="00DA0423"/>
    <w:rsid w:val="00DA1D32"/>
    <w:rsid w:val="00DA5061"/>
    <w:rsid w:val="00DC77BD"/>
    <w:rsid w:val="00DD66E3"/>
    <w:rsid w:val="00DF213E"/>
    <w:rsid w:val="00E2096E"/>
    <w:rsid w:val="00E81999"/>
    <w:rsid w:val="00EB4204"/>
    <w:rsid w:val="00EE08CF"/>
    <w:rsid w:val="00EE54EB"/>
    <w:rsid w:val="00EF3272"/>
    <w:rsid w:val="00F03AE5"/>
    <w:rsid w:val="00F173C5"/>
    <w:rsid w:val="00F359CC"/>
    <w:rsid w:val="00F4243D"/>
    <w:rsid w:val="00F4713C"/>
    <w:rsid w:val="00F70A0B"/>
    <w:rsid w:val="00F74996"/>
    <w:rsid w:val="00F80A86"/>
    <w:rsid w:val="00F83CD0"/>
    <w:rsid w:val="00FA549B"/>
    <w:rsid w:val="00FC7457"/>
    <w:rsid w:val="00FD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"/>
  <w:smartTagType w:namespaceuri="schemas-tilde-lv/tildestengine" w:name="currency2"/>
  <w:shapeDefaults>
    <o:shapedefaults v:ext="edit" spidmax="1026"/>
    <o:shapelayout v:ext="edit">
      <o:idmap v:ext="edit" data="1"/>
    </o:shapelayout>
  </w:shapeDefaults>
  <w:decimalSymbol w:val=","/>
  <w:listSeparator w:val=";"/>
  <w14:docId w14:val="6661A24A"/>
  <w15:chartTrackingRefBased/>
  <w15:docId w15:val="{CA152A91-260A-49B6-A798-0069F9067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0A86"/>
    <w:pPr>
      <w:spacing w:after="200" w:line="276" w:lineRule="auto"/>
    </w:pPr>
    <w:rPr>
      <w:rFonts w:ascii="Calibri" w:hAnsi="Calibri"/>
      <w:sz w:val="22"/>
      <w:szCs w:val="22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0A86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DA04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A0423"/>
    <w:pPr>
      <w:spacing w:line="240" w:lineRule="auto"/>
    </w:pPr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0423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042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A0423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423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A0423"/>
    <w:rPr>
      <w:rFonts w:ascii="Segoe UI" w:eastAsia="Calibr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F359CC"/>
    <w:rPr>
      <w:rFonts w:ascii="Calibri" w:hAnsi="Calibri"/>
      <w:sz w:val="22"/>
      <w:szCs w:val="22"/>
      <w:lang w:val="lv-LV"/>
    </w:rPr>
  </w:style>
  <w:style w:type="character" w:customStyle="1" w:styleId="st">
    <w:name w:val="st"/>
    <w:basedOn w:val="DefaultParagraphFont"/>
    <w:rsid w:val="00F359CC"/>
  </w:style>
  <w:style w:type="character" w:styleId="Strong">
    <w:name w:val="Strong"/>
    <w:uiPriority w:val="22"/>
    <w:qFormat/>
    <w:rsid w:val="00454F29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D058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AD058B"/>
    <w:rPr>
      <w:rFonts w:ascii="Calibri" w:hAnsi="Calibri"/>
      <w:lang w:eastAsia="en-US"/>
    </w:rPr>
  </w:style>
  <w:style w:type="character" w:styleId="FootnoteReference">
    <w:name w:val="footnote reference"/>
    <w:uiPriority w:val="99"/>
    <w:semiHidden/>
    <w:unhideWhenUsed/>
    <w:rsid w:val="00AD058B"/>
    <w:rPr>
      <w:vertAlign w:val="superscript"/>
    </w:rPr>
  </w:style>
  <w:style w:type="character" w:styleId="Hyperlink">
    <w:name w:val="Hyperlink"/>
    <w:uiPriority w:val="99"/>
    <w:semiHidden/>
    <w:unhideWhenUsed/>
    <w:rsid w:val="006461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7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E433AEC60C4E504E90DC491E27C910DB" ma:contentTypeVersion="12" ma:contentTypeDescription="Izveidot jaunu dokumentu." ma:contentTypeScope="" ma:versionID="9db49f7226a40200c6aa8d2bf843d7eb">
  <xsd:schema xmlns:xsd="http://www.w3.org/2001/XMLSchema" xmlns:xs="http://www.w3.org/2001/XMLSchema" xmlns:p="http://schemas.microsoft.com/office/2006/metadata/properties" xmlns:ns2="071870c0-76d0-405c-8f5a-8c5a6110650f" xmlns:ns3="97ad5a38-d7de-4b51-9c9d-6f1c61b32969" targetNamespace="http://schemas.microsoft.com/office/2006/metadata/properties" ma:root="true" ma:fieldsID="6538c12be2ebbf0fd81231cc7918bc7d" ns2:_="" ns3:_="">
    <xsd:import namespace="071870c0-76d0-405c-8f5a-8c5a6110650f"/>
    <xsd:import namespace="97ad5a38-d7de-4b51-9c9d-6f1c61b329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1870c0-76d0-405c-8f5a-8c5a611065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ad5a38-d7de-4b51-9c9d-6f1c61b3296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747A1C-650F-4D3E-B2F1-FB0E47402C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CA4F6A-C4AA-4636-A100-10AAA48C6C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F37AFA-B392-467E-AAE5-8041A61E67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1870c0-76d0-405c-8f5a-8c5a6110650f"/>
    <ds:schemaRef ds:uri="97ad5a38-d7de-4b51-9c9d-6f1c61b329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B71E04-6139-4339-A479-D6CBE4B11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3973</Words>
  <Characters>2265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Finanšu ministrija</Company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Alise Eglīte</dc:creator>
  <cp:keywords/>
  <cp:lastModifiedBy>Finanšu ministrija</cp:lastModifiedBy>
  <cp:revision>7</cp:revision>
  <cp:lastPrinted>2014-06-17T13:57:00Z</cp:lastPrinted>
  <dcterms:created xsi:type="dcterms:W3CDTF">2022-04-06T09:55:00Z</dcterms:created>
  <dcterms:modified xsi:type="dcterms:W3CDTF">2022-05-26T12:43:00Z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0x010100E433AEC60C4E504E90DC491E27C910DB</vt:lpwstr>
  </property>
</Properties>
</file>