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4014D" w14:textId="77777777" w:rsidR="00C109A7" w:rsidRPr="00A72AAF" w:rsidRDefault="00C109A7" w:rsidP="00C109A7">
      <w:pPr>
        <w:keepNext/>
        <w:spacing w:line="240" w:lineRule="auto"/>
        <w:jc w:val="center"/>
        <w:rPr>
          <w:rFonts w:ascii="Times New Roman" w:eastAsiaTheme="minorHAnsi" w:hAnsi="Times New Roman"/>
          <w:b/>
          <w:bCs/>
          <w:sz w:val="18"/>
          <w:szCs w:val="18"/>
        </w:rPr>
      </w:pPr>
      <w:r w:rsidRPr="00A72AAF">
        <w:rPr>
          <w:rFonts w:ascii="Times New Roman" w:eastAsiaTheme="minorHAnsi" w:hAnsi="Times New Roman"/>
          <w:b/>
          <w:bCs/>
          <w:sz w:val="18"/>
          <w:szCs w:val="18"/>
        </w:rPr>
        <w:t xml:space="preserve">Tabula </w:t>
      </w:r>
      <w:r w:rsidR="00AC4846" w:rsidRPr="00A72AAF">
        <w:rPr>
          <w:rFonts w:ascii="Times New Roman" w:eastAsiaTheme="minorHAnsi" w:hAnsi="Times New Roman"/>
          <w:b/>
          <w:bCs/>
          <w:sz w:val="18"/>
          <w:szCs w:val="18"/>
        </w:rPr>
        <w:fldChar w:fldCharType="begin"/>
      </w:r>
      <w:r w:rsidRPr="00A72AAF">
        <w:rPr>
          <w:rFonts w:ascii="Times New Roman" w:eastAsiaTheme="minorHAnsi" w:hAnsi="Times New Roman"/>
          <w:b/>
          <w:bCs/>
          <w:sz w:val="18"/>
          <w:szCs w:val="18"/>
        </w:rPr>
        <w:instrText xml:space="preserve"> SEQ Tabula \* ARABIC </w:instrText>
      </w:r>
      <w:r w:rsidR="00AC4846" w:rsidRPr="00A72AAF">
        <w:rPr>
          <w:rFonts w:ascii="Times New Roman" w:eastAsiaTheme="minorHAnsi" w:hAnsi="Times New Roman"/>
          <w:b/>
          <w:bCs/>
          <w:sz w:val="18"/>
          <w:szCs w:val="18"/>
        </w:rPr>
        <w:fldChar w:fldCharType="separate"/>
      </w:r>
      <w:r w:rsidR="007F7CAC">
        <w:rPr>
          <w:rFonts w:ascii="Times New Roman" w:eastAsiaTheme="minorHAnsi" w:hAnsi="Times New Roman"/>
          <w:b/>
          <w:bCs/>
          <w:noProof/>
          <w:sz w:val="18"/>
          <w:szCs w:val="18"/>
        </w:rPr>
        <w:t>1</w:t>
      </w:r>
      <w:r w:rsidR="00AC4846" w:rsidRPr="00A72AAF">
        <w:rPr>
          <w:rFonts w:ascii="Times New Roman" w:eastAsiaTheme="minorHAnsi" w:hAnsi="Times New Roman"/>
          <w:b/>
          <w:bCs/>
          <w:sz w:val="18"/>
          <w:szCs w:val="18"/>
        </w:rPr>
        <w:fldChar w:fldCharType="end"/>
      </w:r>
      <w:r w:rsidRPr="00A72AAF">
        <w:rPr>
          <w:rFonts w:ascii="Times New Roman" w:eastAsiaTheme="minorHAnsi" w:hAnsi="Times New Roman"/>
          <w:b/>
          <w:bCs/>
          <w:sz w:val="18"/>
          <w:szCs w:val="18"/>
        </w:rPr>
        <w:t xml:space="preserve"> Rādītāju pase investīciju prioritātes specifiskajiem mērķiem</w:t>
      </w:r>
    </w:p>
    <w:tbl>
      <w:tblPr>
        <w:tblStyle w:val="TableGrid1"/>
        <w:tblW w:w="14341" w:type="dxa"/>
        <w:tblLayout w:type="fixed"/>
        <w:tblLook w:val="04A0" w:firstRow="1" w:lastRow="0" w:firstColumn="1" w:lastColumn="0" w:noHBand="0" w:noVBand="1"/>
      </w:tblPr>
      <w:tblGrid>
        <w:gridCol w:w="1242"/>
        <w:gridCol w:w="1242"/>
        <w:gridCol w:w="1452"/>
        <w:gridCol w:w="4394"/>
        <w:gridCol w:w="4026"/>
        <w:gridCol w:w="1985"/>
      </w:tblGrid>
      <w:tr w:rsidR="001F0C54" w:rsidRPr="00A72AAF" w14:paraId="311A4A20" w14:textId="77777777" w:rsidTr="004B11EE">
        <w:tc>
          <w:tcPr>
            <w:tcW w:w="1242" w:type="dxa"/>
          </w:tcPr>
          <w:p w14:paraId="2E62D6EB" w14:textId="77777777" w:rsidR="001F0C54" w:rsidRPr="00A72AAF" w:rsidRDefault="001F0C54" w:rsidP="00C109A7">
            <w:pPr>
              <w:spacing w:after="0" w:line="240" w:lineRule="auto"/>
              <w:jc w:val="center"/>
              <w:rPr>
                <w:rFonts w:ascii="Times New Roman" w:eastAsiaTheme="minorHAnsi" w:hAnsi="Times New Roman"/>
                <w:b/>
                <w:sz w:val="18"/>
                <w:szCs w:val="18"/>
              </w:rPr>
            </w:pPr>
            <w:r w:rsidRPr="00A72AAF">
              <w:rPr>
                <w:rFonts w:ascii="Times New Roman" w:eastAsiaTheme="minorHAnsi" w:hAnsi="Times New Roman"/>
                <w:b/>
                <w:sz w:val="18"/>
                <w:szCs w:val="18"/>
              </w:rPr>
              <w:t>Prioritārais virziens</w:t>
            </w:r>
          </w:p>
        </w:tc>
        <w:tc>
          <w:tcPr>
            <w:tcW w:w="1242" w:type="dxa"/>
          </w:tcPr>
          <w:p w14:paraId="20DBB716" w14:textId="77777777" w:rsidR="001F0C54" w:rsidRPr="00A72AAF" w:rsidRDefault="001F0C54" w:rsidP="00C109A7">
            <w:pPr>
              <w:spacing w:after="0" w:line="240" w:lineRule="auto"/>
              <w:jc w:val="center"/>
              <w:rPr>
                <w:rFonts w:ascii="Times New Roman" w:eastAsiaTheme="minorHAnsi" w:hAnsi="Times New Roman"/>
                <w:b/>
                <w:sz w:val="18"/>
                <w:szCs w:val="18"/>
              </w:rPr>
            </w:pPr>
            <w:r w:rsidRPr="00A72AAF">
              <w:rPr>
                <w:rFonts w:ascii="Times New Roman" w:eastAsiaTheme="minorHAnsi" w:hAnsi="Times New Roman"/>
                <w:b/>
                <w:sz w:val="18"/>
                <w:szCs w:val="18"/>
              </w:rPr>
              <w:t>Investīciju prioritātes nosaukums</w:t>
            </w:r>
          </w:p>
        </w:tc>
        <w:tc>
          <w:tcPr>
            <w:tcW w:w="1452" w:type="dxa"/>
          </w:tcPr>
          <w:p w14:paraId="280B85EF" w14:textId="77777777" w:rsidR="001F0C54" w:rsidRPr="00A72AAF" w:rsidRDefault="001F0C54" w:rsidP="00C109A7">
            <w:pPr>
              <w:spacing w:after="0" w:line="240" w:lineRule="auto"/>
              <w:jc w:val="center"/>
              <w:rPr>
                <w:rFonts w:ascii="Times New Roman" w:eastAsiaTheme="minorHAnsi" w:hAnsi="Times New Roman"/>
                <w:b/>
                <w:sz w:val="18"/>
                <w:szCs w:val="18"/>
              </w:rPr>
            </w:pPr>
            <w:r w:rsidRPr="00A72AAF">
              <w:rPr>
                <w:rFonts w:ascii="Times New Roman" w:eastAsiaTheme="minorHAnsi" w:hAnsi="Times New Roman"/>
                <w:b/>
                <w:sz w:val="18"/>
                <w:szCs w:val="18"/>
              </w:rPr>
              <w:t>Specifiskie atbalsta mērķi (SAM)</w:t>
            </w:r>
          </w:p>
        </w:tc>
        <w:tc>
          <w:tcPr>
            <w:tcW w:w="4394" w:type="dxa"/>
          </w:tcPr>
          <w:p w14:paraId="5D1DEB7A" w14:textId="77777777" w:rsidR="001F0C54" w:rsidRPr="00A72AAF" w:rsidRDefault="001F0C54" w:rsidP="00C109A7">
            <w:pPr>
              <w:spacing w:after="0" w:line="240" w:lineRule="auto"/>
              <w:jc w:val="center"/>
              <w:rPr>
                <w:rFonts w:ascii="Times New Roman" w:eastAsiaTheme="minorHAnsi" w:hAnsi="Times New Roman"/>
                <w:b/>
                <w:sz w:val="18"/>
                <w:szCs w:val="18"/>
              </w:rPr>
            </w:pPr>
            <w:r w:rsidRPr="00A72AAF">
              <w:rPr>
                <w:rFonts w:ascii="Times New Roman" w:eastAsiaTheme="minorHAnsi" w:hAnsi="Times New Roman"/>
                <w:b/>
                <w:sz w:val="18"/>
                <w:szCs w:val="18"/>
              </w:rPr>
              <w:t>Rezultāta rādītāji</w:t>
            </w:r>
          </w:p>
        </w:tc>
        <w:tc>
          <w:tcPr>
            <w:tcW w:w="4026" w:type="dxa"/>
          </w:tcPr>
          <w:p w14:paraId="5FDF965D" w14:textId="77777777" w:rsidR="001F0C54" w:rsidRPr="00A72AAF" w:rsidRDefault="001F0C54" w:rsidP="00C109A7">
            <w:pPr>
              <w:spacing w:after="0" w:line="240" w:lineRule="auto"/>
              <w:jc w:val="center"/>
              <w:rPr>
                <w:rFonts w:ascii="Times New Roman" w:eastAsiaTheme="minorHAnsi" w:hAnsi="Times New Roman"/>
                <w:b/>
                <w:sz w:val="18"/>
                <w:szCs w:val="18"/>
              </w:rPr>
            </w:pPr>
            <w:r w:rsidRPr="00A72AAF">
              <w:rPr>
                <w:rFonts w:ascii="Times New Roman" w:eastAsiaTheme="minorHAnsi" w:hAnsi="Times New Roman"/>
                <w:b/>
                <w:sz w:val="18"/>
                <w:szCs w:val="18"/>
              </w:rPr>
              <w:t>Iznākuma rādītāji (IR)</w:t>
            </w:r>
          </w:p>
        </w:tc>
        <w:tc>
          <w:tcPr>
            <w:tcW w:w="1985" w:type="dxa"/>
          </w:tcPr>
          <w:p w14:paraId="1F984EF8" w14:textId="77777777" w:rsidR="001F0C54" w:rsidRPr="00A72AAF" w:rsidRDefault="001F0C54" w:rsidP="0082274E">
            <w:pPr>
              <w:spacing w:after="0" w:line="240" w:lineRule="auto"/>
              <w:jc w:val="center"/>
              <w:rPr>
                <w:rFonts w:ascii="Times New Roman" w:eastAsiaTheme="minorHAnsi" w:hAnsi="Times New Roman"/>
                <w:b/>
                <w:sz w:val="18"/>
                <w:szCs w:val="18"/>
              </w:rPr>
            </w:pPr>
            <w:r w:rsidRPr="00A72AAF">
              <w:rPr>
                <w:rFonts w:ascii="Times New Roman" w:eastAsiaTheme="minorHAnsi" w:hAnsi="Times New Roman"/>
                <w:b/>
                <w:sz w:val="18"/>
                <w:szCs w:val="18"/>
              </w:rPr>
              <w:t>Finanšu rādītāji</w:t>
            </w:r>
            <w:r w:rsidR="0011667B">
              <w:rPr>
                <w:rStyle w:val="FootnoteReference"/>
                <w:rFonts w:ascii="Times New Roman" w:eastAsiaTheme="minorHAnsi" w:hAnsi="Times New Roman"/>
                <w:b/>
                <w:sz w:val="18"/>
                <w:szCs w:val="18"/>
              </w:rPr>
              <w:footnoteReference w:id="1"/>
            </w:r>
          </w:p>
        </w:tc>
      </w:tr>
      <w:tr w:rsidR="00DE435B" w:rsidRPr="00A72AAF" w14:paraId="4FD4224E" w14:textId="77777777" w:rsidTr="004B11EE">
        <w:trPr>
          <w:trHeight w:val="218"/>
        </w:trPr>
        <w:tc>
          <w:tcPr>
            <w:tcW w:w="1242" w:type="dxa"/>
          </w:tcPr>
          <w:p w14:paraId="589A72C8" w14:textId="77777777" w:rsidR="00DE435B" w:rsidRPr="00A72AAF" w:rsidRDefault="00DE435B" w:rsidP="00B92B79">
            <w:pPr>
              <w:spacing w:after="0" w:line="240" w:lineRule="auto"/>
              <w:jc w:val="both"/>
              <w:rPr>
                <w:rFonts w:ascii="Times New Roman" w:eastAsiaTheme="minorHAnsi" w:hAnsi="Times New Roman"/>
                <w:sz w:val="18"/>
                <w:szCs w:val="18"/>
              </w:rPr>
            </w:pPr>
            <w:r w:rsidRPr="00A72AAF">
              <w:rPr>
                <w:rFonts w:ascii="Times New Roman" w:eastAsiaTheme="minorHAnsi" w:hAnsi="Times New Roman"/>
                <w:sz w:val="18"/>
                <w:szCs w:val="18"/>
              </w:rPr>
              <w:t>3.Mazo un vidējo komersantu konkurētspēja</w:t>
            </w:r>
          </w:p>
        </w:tc>
        <w:tc>
          <w:tcPr>
            <w:tcW w:w="1242" w:type="dxa"/>
          </w:tcPr>
          <w:p w14:paraId="38325599" w14:textId="77777777" w:rsidR="00DE435B" w:rsidRPr="00A72AAF" w:rsidRDefault="00DE435B" w:rsidP="00EC575E">
            <w:pPr>
              <w:spacing w:after="0" w:line="240" w:lineRule="auto"/>
              <w:jc w:val="both"/>
              <w:rPr>
                <w:rFonts w:ascii="Times New Roman" w:eastAsiaTheme="minorHAnsi" w:hAnsi="Times New Roman"/>
                <w:sz w:val="18"/>
                <w:szCs w:val="18"/>
              </w:rPr>
            </w:pPr>
            <w:r w:rsidRPr="00A72AAF">
              <w:rPr>
                <w:rFonts w:ascii="Times New Roman" w:eastAsiaTheme="minorHAnsi" w:hAnsi="Times New Roman"/>
                <w:sz w:val="18"/>
                <w:szCs w:val="18"/>
              </w:rPr>
              <w:t>3.3.</w:t>
            </w:r>
            <w:r w:rsidRPr="00A72AAF">
              <w:rPr>
                <w:rFonts w:ascii="Times New Roman" w:hAnsi="Times New Roman"/>
                <w:sz w:val="18"/>
                <w:szCs w:val="18"/>
              </w:rPr>
              <w:t xml:space="preserve"> </w:t>
            </w:r>
            <w:r w:rsidRPr="00A72AAF">
              <w:rPr>
                <w:rFonts w:ascii="Times New Roman" w:eastAsiaTheme="minorHAnsi" w:hAnsi="Times New Roman"/>
                <w:sz w:val="18"/>
                <w:szCs w:val="18"/>
              </w:rPr>
              <w:t>ieguldījumu prioritāte: atbalstīt uzlabotu spēju radīšanu un paplašināšanu produktu un pakalpojumu attīstībai.</w:t>
            </w:r>
          </w:p>
        </w:tc>
        <w:tc>
          <w:tcPr>
            <w:tcW w:w="1452" w:type="dxa"/>
          </w:tcPr>
          <w:p w14:paraId="7E0A9A7B" w14:textId="77777777" w:rsidR="00DE435B" w:rsidRPr="00A72AAF" w:rsidRDefault="00DE435B" w:rsidP="006259BE">
            <w:pPr>
              <w:spacing w:after="0" w:line="240" w:lineRule="auto"/>
              <w:jc w:val="both"/>
              <w:rPr>
                <w:rFonts w:ascii="Times New Roman" w:eastAsiaTheme="minorHAnsi" w:hAnsi="Times New Roman"/>
                <w:sz w:val="18"/>
                <w:szCs w:val="18"/>
              </w:rPr>
            </w:pPr>
            <w:r w:rsidRPr="00A72AAF">
              <w:rPr>
                <w:rFonts w:ascii="Times New Roman" w:eastAsiaTheme="minorHAnsi" w:hAnsi="Times New Roman"/>
                <w:sz w:val="18"/>
                <w:szCs w:val="18"/>
              </w:rPr>
              <w:t>3.3.1.</w:t>
            </w:r>
            <w:r w:rsidRPr="00A72AAF">
              <w:rPr>
                <w:rFonts w:ascii="Times New Roman" w:hAnsi="Times New Roman"/>
                <w:sz w:val="18"/>
                <w:szCs w:val="18"/>
              </w:rPr>
              <w:t xml:space="preserve"> </w:t>
            </w:r>
            <w:r w:rsidRPr="006B5BA6">
              <w:rPr>
                <w:rFonts w:ascii="Times New Roman" w:eastAsiaTheme="minorHAnsi" w:hAnsi="Times New Roman"/>
                <w:sz w:val="18"/>
                <w:szCs w:val="18"/>
              </w:rPr>
              <w:t>specifiskais atbalsta mērķis:</w:t>
            </w:r>
            <w:r w:rsidRPr="00A72AAF">
              <w:rPr>
                <w:rFonts w:ascii="Times New Roman" w:eastAsiaTheme="minorHAnsi" w:hAnsi="Times New Roman"/>
                <w:b/>
                <w:sz w:val="18"/>
                <w:szCs w:val="18"/>
                <w:u w:val="single"/>
              </w:rPr>
              <w:t xml:space="preserve">  </w:t>
            </w:r>
            <w:r w:rsidRPr="00A72AAF">
              <w:rPr>
                <w:rFonts w:ascii="Times New Roman" w:eastAsiaTheme="minorHAnsi" w:hAnsi="Times New Roman"/>
                <w:sz w:val="18"/>
                <w:szCs w:val="18"/>
              </w:rPr>
              <w:t>palielināt privāto investīciju apjomu reģionos, veicot ieguldījumus uzņēmējdarbības attīstībai atbilstoši pašvaldību attīstības programmās noteiktajai teritoriju ekonomiskajai specializācijai un balstoties uz vietējo uzņēmēju vajadzībām</w:t>
            </w:r>
          </w:p>
        </w:tc>
        <w:tc>
          <w:tcPr>
            <w:tcW w:w="4394" w:type="dxa"/>
          </w:tcPr>
          <w:p w14:paraId="77D560F5" w14:textId="77777777" w:rsidR="00DE435B" w:rsidRPr="00A72AAF" w:rsidRDefault="00DE435B" w:rsidP="00746CF3">
            <w:pPr>
              <w:spacing w:after="0" w:line="240" w:lineRule="auto"/>
              <w:jc w:val="both"/>
              <w:rPr>
                <w:rFonts w:ascii="Times New Roman" w:eastAsiaTheme="minorHAnsi" w:hAnsi="Times New Roman"/>
                <w:sz w:val="18"/>
                <w:szCs w:val="18"/>
              </w:rPr>
            </w:pPr>
            <w:r w:rsidRPr="00A72AAF">
              <w:rPr>
                <w:rFonts w:ascii="Times New Roman" w:eastAsiaTheme="minorHAnsi" w:hAnsi="Times New Roman"/>
                <w:i/>
                <w:sz w:val="18"/>
                <w:szCs w:val="18"/>
              </w:rPr>
              <w:t>Nosaukums un mērvienība</w:t>
            </w:r>
            <w:r w:rsidRPr="00A72AAF">
              <w:rPr>
                <w:rFonts w:ascii="Times New Roman" w:eastAsiaTheme="minorHAnsi" w:hAnsi="Times New Roman"/>
                <w:sz w:val="18"/>
                <w:szCs w:val="18"/>
              </w:rPr>
              <w:t>:</w:t>
            </w:r>
          </w:p>
          <w:p w14:paraId="4FF59602" w14:textId="77777777" w:rsidR="00DE435B" w:rsidRPr="00A72AAF" w:rsidRDefault="00DE435B" w:rsidP="00746CF3">
            <w:pPr>
              <w:spacing w:after="0" w:line="240" w:lineRule="auto"/>
              <w:jc w:val="both"/>
              <w:rPr>
                <w:rFonts w:ascii="Times New Roman" w:eastAsiaTheme="minorHAnsi" w:hAnsi="Times New Roman"/>
                <w:b/>
                <w:sz w:val="18"/>
                <w:szCs w:val="18"/>
              </w:rPr>
            </w:pPr>
            <w:r w:rsidRPr="00D66EC0">
              <w:rPr>
                <w:rFonts w:ascii="Times New Roman" w:eastAsiaTheme="minorHAnsi" w:hAnsi="Times New Roman"/>
                <w:sz w:val="18"/>
                <w:szCs w:val="18"/>
              </w:rPr>
              <w:t xml:space="preserve">r.3.3.1.a (R13) </w:t>
            </w:r>
            <w:proofErr w:type="spellStart"/>
            <w:r w:rsidRPr="00A72AAF">
              <w:rPr>
                <w:rFonts w:ascii="Times New Roman" w:eastAsiaTheme="minorHAnsi" w:hAnsi="Times New Roman"/>
                <w:b/>
                <w:sz w:val="18"/>
                <w:szCs w:val="18"/>
              </w:rPr>
              <w:t>Nefinanšu</w:t>
            </w:r>
            <w:proofErr w:type="spellEnd"/>
            <w:r w:rsidRPr="00A72AAF">
              <w:rPr>
                <w:rFonts w:ascii="Times New Roman" w:eastAsiaTheme="minorHAnsi" w:hAnsi="Times New Roman"/>
                <w:b/>
                <w:sz w:val="18"/>
                <w:szCs w:val="18"/>
              </w:rPr>
              <w:t xml:space="preserve"> investīcijas nemateriālajos ieguldījumos un pamatlīdzekļos pa darbības veidiem (faktiskajās cenās), EUR</w:t>
            </w:r>
          </w:p>
          <w:p w14:paraId="1B88A013" w14:textId="77777777" w:rsidR="00DE435B" w:rsidRPr="00A72AAF" w:rsidRDefault="00DE435B" w:rsidP="00746CF3">
            <w:pPr>
              <w:spacing w:after="0" w:line="240" w:lineRule="auto"/>
              <w:jc w:val="both"/>
              <w:rPr>
                <w:rFonts w:ascii="Times New Roman" w:eastAsiaTheme="minorHAnsi" w:hAnsi="Times New Roman"/>
                <w:i/>
                <w:sz w:val="18"/>
                <w:szCs w:val="18"/>
              </w:rPr>
            </w:pPr>
          </w:p>
          <w:p w14:paraId="6371A81B" w14:textId="77777777" w:rsidR="00DE435B" w:rsidRPr="00A72AAF" w:rsidRDefault="00DE435B" w:rsidP="00746CF3">
            <w:pPr>
              <w:spacing w:after="0" w:line="240" w:lineRule="auto"/>
              <w:jc w:val="both"/>
              <w:rPr>
                <w:rFonts w:ascii="Times New Roman" w:eastAsiaTheme="minorHAnsi" w:hAnsi="Times New Roman"/>
                <w:i/>
                <w:sz w:val="18"/>
                <w:szCs w:val="18"/>
              </w:rPr>
            </w:pPr>
            <w:r w:rsidRPr="00A72AAF">
              <w:rPr>
                <w:rFonts w:ascii="Times New Roman" w:eastAsiaTheme="minorHAnsi" w:hAnsi="Times New Roman"/>
                <w:i/>
                <w:sz w:val="18"/>
                <w:szCs w:val="18"/>
              </w:rPr>
              <w:t>Definīcija:</w:t>
            </w:r>
          </w:p>
          <w:p w14:paraId="1A4AFE49" w14:textId="77777777" w:rsidR="00DE435B" w:rsidRPr="00A72AAF" w:rsidRDefault="00DE435B" w:rsidP="00050356">
            <w:pPr>
              <w:spacing w:after="0" w:line="240" w:lineRule="auto"/>
              <w:jc w:val="both"/>
              <w:rPr>
                <w:rFonts w:ascii="Times New Roman" w:eastAsiaTheme="minorHAnsi" w:hAnsi="Times New Roman"/>
                <w:sz w:val="18"/>
                <w:szCs w:val="18"/>
              </w:rPr>
            </w:pPr>
            <w:proofErr w:type="spellStart"/>
            <w:r w:rsidRPr="00A72AAF">
              <w:rPr>
                <w:rFonts w:ascii="Times New Roman" w:eastAsiaTheme="minorHAnsi" w:hAnsi="Times New Roman"/>
                <w:sz w:val="18"/>
                <w:szCs w:val="18"/>
              </w:rPr>
              <w:t>Nefinanšu</w:t>
            </w:r>
            <w:proofErr w:type="spellEnd"/>
            <w:r w:rsidRPr="00A72AAF">
              <w:rPr>
                <w:rFonts w:ascii="Times New Roman" w:eastAsiaTheme="minorHAnsi" w:hAnsi="Times New Roman"/>
                <w:sz w:val="18"/>
                <w:szCs w:val="18"/>
              </w:rPr>
              <w:t xml:space="preserve"> investīcijas nemateriālajos ieguldījumos un pamatlīdzekļos pa darbības veidiem (faktiskajās cenās, </w:t>
            </w:r>
            <w:proofErr w:type="spellStart"/>
            <w:r w:rsidRPr="00A72AAF">
              <w:rPr>
                <w:rFonts w:ascii="Times New Roman" w:eastAsiaTheme="minorHAnsi" w:hAnsi="Times New Roman"/>
                <w:sz w:val="18"/>
                <w:szCs w:val="18"/>
              </w:rPr>
              <w:t>euro</w:t>
            </w:r>
            <w:proofErr w:type="spellEnd"/>
            <w:r w:rsidRPr="00A72AAF">
              <w:rPr>
                <w:rFonts w:ascii="Times New Roman" w:eastAsiaTheme="minorHAnsi" w:hAnsi="Times New Roman"/>
                <w:sz w:val="18"/>
                <w:szCs w:val="18"/>
              </w:rPr>
              <w:t>) apstrādes rūpniecības, būvniecības, transports un uzglabāšanas, izmitināšanas un ēdināšanas pakalpojumu, profesionālo, zinātnisko un tehnisko pakalpojumu nozarē.</w:t>
            </w:r>
            <w:r w:rsidRPr="00A72AAF">
              <w:rPr>
                <w:rStyle w:val="FootnoteReference"/>
                <w:rFonts w:ascii="Times New Roman" w:eastAsiaTheme="minorHAnsi" w:hAnsi="Times New Roman"/>
                <w:sz w:val="18"/>
                <w:szCs w:val="18"/>
              </w:rPr>
              <w:footnoteReference w:id="2"/>
            </w:r>
            <w:hyperlink r:id="rId11"/>
          </w:p>
          <w:p w14:paraId="4A09EE44" w14:textId="77777777" w:rsidR="00DE435B" w:rsidRPr="00A72AAF" w:rsidRDefault="00DE435B" w:rsidP="00746CF3">
            <w:pPr>
              <w:spacing w:after="0" w:line="240" w:lineRule="auto"/>
              <w:jc w:val="both"/>
              <w:rPr>
                <w:rFonts w:ascii="Times New Roman" w:eastAsiaTheme="minorHAnsi" w:hAnsi="Times New Roman"/>
                <w:i/>
                <w:sz w:val="18"/>
                <w:szCs w:val="18"/>
              </w:rPr>
            </w:pPr>
          </w:p>
          <w:p w14:paraId="7A0685EF" w14:textId="77777777" w:rsidR="00DE435B" w:rsidRPr="00A72AAF" w:rsidRDefault="00DE435B" w:rsidP="00746CF3">
            <w:pPr>
              <w:spacing w:after="0" w:line="240" w:lineRule="auto"/>
              <w:jc w:val="both"/>
              <w:rPr>
                <w:rFonts w:ascii="Times New Roman" w:eastAsiaTheme="minorHAnsi" w:hAnsi="Times New Roman"/>
                <w:sz w:val="18"/>
                <w:szCs w:val="18"/>
              </w:rPr>
            </w:pPr>
            <w:r w:rsidRPr="00A72AAF">
              <w:rPr>
                <w:rFonts w:ascii="Times New Roman" w:eastAsiaTheme="minorHAnsi" w:hAnsi="Times New Roman"/>
                <w:i/>
                <w:sz w:val="18"/>
                <w:szCs w:val="18"/>
              </w:rPr>
              <w:t>Bāzes vērtība un tās noteikšanas gads</w:t>
            </w:r>
            <w:r w:rsidRPr="00A72AAF">
              <w:rPr>
                <w:rFonts w:ascii="Times New Roman" w:eastAsiaTheme="minorHAnsi" w:hAnsi="Times New Roman"/>
                <w:sz w:val="18"/>
                <w:szCs w:val="18"/>
              </w:rPr>
              <w:t>:</w:t>
            </w:r>
          </w:p>
          <w:p w14:paraId="674D1CDB" w14:textId="77777777" w:rsidR="00DE435B" w:rsidRPr="00A72AAF" w:rsidRDefault="00DE435B" w:rsidP="00746CF3">
            <w:pPr>
              <w:spacing w:after="0" w:line="240" w:lineRule="auto"/>
              <w:jc w:val="both"/>
              <w:rPr>
                <w:rFonts w:ascii="Times New Roman" w:eastAsiaTheme="minorHAnsi" w:hAnsi="Times New Roman"/>
                <w:sz w:val="18"/>
                <w:szCs w:val="18"/>
              </w:rPr>
            </w:pPr>
            <w:r w:rsidRPr="00A72AAF">
              <w:rPr>
                <w:rFonts w:ascii="Times New Roman" w:eastAsiaTheme="minorHAnsi" w:hAnsi="Times New Roman"/>
                <w:sz w:val="18"/>
                <w:szCs w:val="18"/>
              </w:rPr>
              <w:t xml:space="preserve">1 700 033 000 </w:t>
            </w:r>
            <w:proofErr w:type="spellStart"/>
            <w:r w:rsidRPr="00A72AAF">
              <w:rPr>
                <w:rFonts w:ascii="Times New Roman" w:eastAsiaTheme="minorHAnsi" w:hAnsi="Times New Roman"/>
                <w:i/>
                <w:sz w:val="18"/>
                <w:szCs w:val="18"/>
              </w:rPr>
              <w:t>euro</w:t>
            </w:r>
            <w:proofErr w:type="spellEnd"/>
            <w:r w:rsidRPr="00A72AAF">
              <w:rPr>
                <w:rFonts w:ascii="Times New Roman" w:eastAsiaTheme="minorHAnsi" w:hAnsi="Times New Roman"/>
                <w:sz w:val="18"/>
                <w:szCs w:val="18"/>
              </w:rPr>
              <w:t xml:space="preserve"> (2012.g.)</w:t>
            </w:r>
          </w:p>
          <w:p w14:paraId="1458E14B" w14:textId="77777777" w:rsidR="00DE435B" w:rsidRPr="00A72AAF" w:rsidRDefault="00DE435B" w:rsidP="00746CF3">
            <w:pPr>
              <w:spacing w:after="0" w:line="240" w:lineRule="auto"/>
              <w:jc w:val="both"/>
              <w:rPr>
                <w:rFonts w:ascii="Times New Roman" w:eastAsiaTheme="minorHAnsi" w:hAnsi="Times New Roman"/>
                <w:i/>
                <w:sz w:val="18"/>
                <w:szCs w:val="18"/>
              </w:rPr>
            </w:pPr>
          </w:p>
          <w:p w14:paraId="30C7A4A8" w14:textId="77777777" w:rsidR="00DE435B" w:rsidRPr="00A72AAF" w:rsidRDefault="00DE435B" w:rsidP="00746CF3">
            <w:pPr>
              <w:spacing w:after="0" w:line="240" w:lineRule="auto"/>
              <w:jc w:val="both"/>
              <w:rPr>
                <w:rFonts w:ascii="Times New Roman" w:eastAsiaTheme="minorHAnsi" w:hAnsi="Times New Roman"/>
                <w:sz w:val="18"/>
                <w:szCs w:val="18"/>
              </w:rPr>
            </w:pPr>
            <w:r w:rsidRPr="00A72AAF">
              <w:rPr>
                <w:rFonts w:ascii="Times New Roman" w:eastAsiaTheme="minorHAnsi" w:hAnsi="Times New Roman"/>
                <w:i/>
                <w:sz w:val="18"/>
                <w:szCs w:val="18"/>
              </w:rPr>
              <w:t>Datu avots</w:t>
            </w:r>
            <w:r w:rsidRPr="00A72AAF">
              <w:rPr>
                <w:rFonts w:ascii="Times New Roman" w:eastAsiaTheme="minorHAnsi" w:hAnsi="Times New Roman"/>
                <w:sz w:val="18"/>
                <w:szCs w:val="18"/>
              </w:rPr>
              <w:t>:</w:t>
            </w:r>
          </w:p>
          <w:p w14:paraId="76049386" w14:textId="242256C4" w:rsidR="00DE435B" w:rsidRPr="00A72AAF" w:rsidRDefault="00DE435B" w:rsidP="00746CF3">
            <w:pPr>
              <w:spacing w:after="0" w:line="240" w:lineRule="auto"/>
              <w:jc w:val="both"/>
              <w:rPr>
                <w:rFonts w:ascii="Times New Roman" w:eastAsiaTheme="minorHAnsi" w:hAnsi="Times New Roman"/>
                <w:sz w:val="18"/>
                <w:szCs w:val="18"/>
              </w:rPr>
            </w:pPr>
            <w:r w:rsidRPr="00A72AAF">
              <w:rPr>
                <w:rFonts w:ascii="Times New Roman" w:eastAsiaTheme="minorHAnsi" w:hAnsi="Times New Roman"/>
                <w:sz w:val="18"/>
                <w:szCs w:val="18"/>
              </w:rPr>
              <w:t>CSP</w:t>
            </w:r>
            <w:r w:rsidR="00A90C04">
              <w:rPr>
                <w:rFonts w:ascii="Times New Roman" w:eastAsiaTheme="minorHAnsi" w:hAnsi="Times New Roman"/>
                <w:sz w:val="18"/>
                <w:szCs w:val="18"/>
              </w:rPr>
              <w:t xml:space="preserve"> </w:t>
            </w:r>
          </w:p>
          <w:p w14:paraId="289C7B5C" w14:textId="77777777" w:rsidR="00DE435B" w:rsidRPr="00A72AAF" w:rsidRDefault="00DE435B" w:rsidP="00746CF3">
            <w:pPr>
              <w:spacing w:after="0" w:line="240" w:lineRule="auto"/>
              <w:jc w:val="both"/>
              <w:rPr>
                <w:rFonts w:ascii="Times New Roman" w:eastAsiaTheme="minorHAnsi" w:hAnsi="Times New Roman"/>
                <w:i/>
                <w:sz w:val="18"/>
                <w:szCs w:val="18"/>
              </w:rPr>
            </w:pPr>
          </w:p>
          <w:p w14:paraId="16353FAE" w14:textId="77777777" w:rsidR="00DE435B" w:rsidRPr="00A72AAF" w:rsidRDefault="00DE435B" w:rsidP="00746CF3">
            <w:pPr>
              <w:spacing w:after="0" w:line="240" w:lineRule="auto"/>
              <w:jc w:val="both"/>
              <w:rPr>
                <w:rFonts w:ascii="Times New Roman" w:eastAsiaTheme="minorHAnsi" w:hAnsi="Times New Roman"/>
                <w:i/>
                <w:sz w:val="18"/>
                <w:szCs w:val="18"/>
              </w:rPr>
            </w:pPr>
            <w:r w:rsidRPr="00A72AAF">
              <w:rPr>
                <w:rFonts w:ascii="Times New Roman" w:eastAsiaTheme="minorHAnsi" w:hAnsi="Times New Roman"/>
                <w:i/>
                <w:sz w:val="18"/>
                <w:szCs w:val="18"/>
              </w:rPr>
              <w:t>Apkopošanas biežums un ieguves metodoloģija:</w:t>
            </w:r>
          </w:p>
          <w:p w14:paraId="13D8C616" w14:textId="77777777" w:rsidR="00DE435B" w:rsidRPr="00A72AAF" w:rsidRDefault="00DE435B" w:rsidP="00746CF3">
            <w:pPr>
              <w:spacing w:after="0" w:line="240" w:lineRule="auto"/>
              <w:jc w:val="both"/>
              <w:rPr>
                <w:rFonts w:ascii="Times New Roman" w:eastAsiaTheme="minorHAnsi" w:hAnsi="Times New Roman"/>
                <w:sz w:val="18"/>
                <w:szCs w:val="18"/>
              </w:rPr>
            </w:pPr>
            <w:r w:rsidRPr="00A72AAF">
              <w:rPr>
                <w:rFonts w:ascii="Times New Roman" w:eastAsiaTheme="minorHAnsi" w:hAnsi="Times New Roman"/>
                <w:sz w:val="18"/>
                <w:szCs w:val="18"/>
              </w:rPr>
              <w:t>Reizi gadā</w:t>
            </w:r>
          </w:p>
          <w:p w14:paraId="7E340597" w14:textId="77777777" w:rsidR="00DE435B" w:rsidRPr="00A72AAF" w:rsidRDefault="00DE435B" w:rsidP="00746CF3">
            <w:pPr>
              <w:spacing w:after="0" w:line="240" w:lineRule="auto"/>
              <w:jc w:val="both"/>
              <w:rPr>
                <w:rFonts w:ascii="Times New Roman" w:eastAsiaTheme="minorHAnsi" w:hAnsi="Times New Roman"/>
                <w:i/>
                <w:sz w:val="18"/>
                <w:szCs w:val="18"/>
              </w:rPr>
            </w:pPr>
          </w:p>
          <w:p w14:paraId="2CC77CA0" w14:textId="77777777" w:rsidR="00DE435B" w:rsidRPr="00A72AAF" w:rsidRDefault="00DE435B" w:rsidP="00746CF3">
            <w:pPr>
              <w:spacing w:after="0" w:line="240" w:lineRule="auto"/>
              <w:jc w:val="both"/>
              <w:rPr>
                <w:rFonts w:ascii="Times New Roman" w:eastAsiaTheme="minorHAnsi" w:hAnsi="Times New Roman"/>
                <w:sz w:val="18"/>
                <w:szCs w:val="18"/>
              </w:rPr>
            </w:pPr>
            <w:r w:rsidRPr="00A72AAF">
              <w:rPr>
                <w:rFonts w:ascii="Times New Roman" w:eastAsiaTheme="minorHAnsi" w:hAnsi="Times New Roman"/>
                <w:i/>
                <w:sz w:val="18"/>
                <w:szCs w:val="18"/>
              </w:rPr>
              <w:t>Mērķis 2023</w:t>
            </w:r>
            <w:r w:rsidRPr="00A72AAF">
              <w:rPr>
                <w:rFonts w:ascii="Times New Roman" w:eastAsiaTheme="minorHAnsi" w:hAnsi="Times New Roman"/>
                <w:sz w:val="18"/>
                <w:szCs w:val="18"/>
              </w:rPr>
              <w:t>:</w:t>
            </w:r>
          </w:p>
          <w:p w14:paraId="7C04C8E2" w14:textId="77777777" w:rsidR="00DE435B" w:rsidRPr="00A72AAF" w:rsidRDefault="00DE435B" w:rsidP="00CA3D2F">
            <w:pPr>
              <w:spacing w:after="0" w:line="240" w:lineRule="auto"/>
              <w:jc w:val="both"/>
              <w:rPr>
                <w:rFonts w:ascii="Times New Roman" w:eastAsiaTheme="minorHAnsi" w:hAnsi="Times New Roman"/>
                <w:sz w:val="18"/>
                <w:szCs w:val="18"/>
              </w:rPr>
            </w:pPr>
            <w:r w:rsidRPr="00A72AAF">
              <w:rPr>
                <w:rFonts w:ascii="Times New Roman" w:eastAsiaTheme="minorHAnsi" w:hAnsi="Times New Roman"/>
                <w:sz w:val="18"/>
                <w:szCs w:val="18"/>
              </w:rPr>
              <w:t xml:space="preserve">2 125 683 000–2 438 753 000 </w:t>
            </w:r>
            <w:proofErr w:type="spellStart"/>
            <w:r w:rsidRPr="00A72AAF">
              <w:rPr>
                <w:rFonts w:ascii="Times New Roman" w:eastAsiaTheme="minorHAnsi" w:hAnsi="Times New Roman"/>
                <w:sz w:val="18"/>
                <w:szCs w:val="18"/>
              </w:rPr>
              <w:t>euro</w:t>
            </w:r>
            <w:proofErr w:type="spellEnd"/>
            <w:r w:rsidR="004A6DE7">
              <w:rPr>
                <w:rFonts w:ascii="Times New Roman" w:eastAsiaTheme="minorHAnsi" w:hAnsi="Times New Roman"/>
                <w:i/>
                <w:sz w:val="18"/>
                <w:szCs w:val="18"/>
              </w:rPr>
              <w:t>,</w:t>
            </w:r>
            <w:r w:rsidR="004A6DE7">
              <w:rPr>
                <w:rFonts w:ascii="Times New Roman" w:eastAsiaTheme="minorHAnsi" w:hAnsi="Times New Roman"/>
                <w:sz w:val="18"/>
                <w:szCs w:val="18"/>
              </w:rPr>
              <w:t xml:space="preserve"> </w:t>
            </w:r>
            <w:r w:rsidR="004A6DE7" w:rsidRPr="006752AC">
              <w:rPr>
                <w:rFonts w:ascii="Times New Roman" w:eastAsiaTheme="minorHAnsi" w:hAnsi="Times New Roman"/>
                <w:sz w:val="18"/>
                <w:szCs w:val="18"/>
              </w:rPr>
              <w:t xml:space="preserve">t.sk. integrēto teritoriālo investīciju ietvaros –  </w:t>
            </w:r>
            <w:r w:rsidR="004A6DE7" w:rsidRPr="004A6DE7">
              <w:rPr>
                <w:rFonts w:ascii="Times New Roman" w:eastAsiaTheme="minorHAnsi" w:hAnsi="Times New Roman"/>
                <w:sz w:val="18"/>
                <w:szCs w:val="18"/>
              </w:rPr>
              <w:t xml:space="preserve"> </w:t>
            </w:r>
            <w:r w:rsidR="006B41E4" w:rsidRPr="006B41E4">
              <w:rPr>
                <w:rFonts w:ascii="Times New Roman" w:eastAsiaTheme="minorHAnsi" w:hAnsi="Times New Roman"/>
                <w:sz w:val="18"/>
                <w:szCs w:val="18"/>
              </w:rPr>
              <w:t xml:space="preserve"> </w:t>
            </w:r>
            <w:r w:rsidR="006F582F">
              <w:rPr>
                <w:rFonts w:ascii="Times New Roman" w:eastAsiaTheme="minorHAnsi" w:hAnsi="Times New Roman"/>
                <w:sz w:val="18"/>
                <w:szCs w:val="18"/>
              </w:rPr>
              <w:t xml:space="preserve"> </w:t>
            </w:r>
            <w:r w:rsidR="001D7F93">
              <w:rPr>
                <w:rFonts w:ascii="Times New Roman" w:eastAsiaTheme="minorHAnsi" w:hAnsi="Times New Roman"/>
                <w:sz w:val="18"/>
                <w:szCs w:val="18"/>
              </w:rPr>
              <w:t>2 069 088 754</w:t>
            </w:r>
            <w:r w:rsidR="004A6DE7" w:rsidRPr="00A72AAF">
              <w:rPr>
                <w:rFonts w:ascii="Times New Roman" w:eastAsiaTheme="minorHAnsi" w:hAnsi="Times New Roman"/>
                <w:sz w:val="18"/>
                <w:szCs w:val="18"/>
              </w:rPr>
              <w:t>–</w:t>
            </w:r>
            <w:r w:rsidR="004A6DE7" w:rsidRPr="004A6DE7">
              <w:rPr>
                <w:rFonts w:ascii="Times New Roman" w:eastAsiaTheme="minorHAnsi" w:hAnsi="Times New Roman"/>
                <w:sz w:val="18"/>
                <w:szCs w:val="18"/>
              </w:rPr>
              <w:t xml:space="preserve"> </w:t>
            </w:r>
            <w:r w:rsidR="001D7F93">
              <w:rPr>
                <w:rFonts w:ascii="Times New Roman" w:eastAsiaTheme="minorHAnsi" w:hAnsi="Times New Roman"/>
                <w:sz w:val="18"/>
                <w:szCs w:val="18"/>
              </w:rPr>
              <w:t>2 382 158 754</w:t>
            </w:r>
            <w:r w:rsidR="006F582F" w:rsidRPr="006F582F">
              <w:rPr>
                <w:rFonts w:ascii="Times New Roman" w:eastAsiaTheme="minorHAnsi" w:hAnsi="Times New Roman"/>
                <w:sz w:val="18"/>
                <w:szCs w:val="18"/>
              </w:rPr>
              <w:t xml:space="preserve"> </w:t>
            </w:r>
            <w:r w:rsidR="004A6DE7">
              <w:rPr>
                <w:rFonts w:ascii="Times New Roman" w:eastAsiaTheme="minorHAnsi" w:hAnsi="Times New Roman"/>
                <w:sz w:val="18"/>
                <w:szCs w:val="18"/>
              </w:rPr>
              <w:t xml:space="preserve"> </w:t>
            </w:r>
            <w:proofErr w:type="spellStart"/>
            <w:r w:rsidR="004A6DE7">
              <w:rPr>
                <w:rFonts w:ascii="Times New Roman" w:eastAsiaTheme="minorHAnsi" w:hAnsi="Times New Roman"/>
                <w:sz w:val="18"/>
                <w:szCs w:val="18"/>
              </w:rPr>
              <w:t>euro</w:t>
            </w:r>
            <w:proofErr w:type="spellEnd"/>
          </w:p>
          <w:p w14:paraId="5E9B803C" w14:textId="77777777" w:rsidR="00DE435B" w:rsidRPr="00A72AAF" w:rsidRDefault="00DE435B" w:rsidP="00746CF3">
            <w:pPr>
              <w:spacing w:after="0" w:line="240" w:lineRule="auto"/>
              <w:jc w:val="both"/>
              <w:rPr>
                <w:rFonts w:ascii="Times New Roman" w:eastAsiaTheme="minorHAnsi" w:hAnsi="Times New Roman"/>
                <w:i/>
                <w:sz w:val="18"/>
                <w:szCs w:val="18"/>
              </w:rPr>
            </w:pPr>
          </w:p>
          <w:p w14:paraId="0E935AA3" w14:textId="77777777" w:rsidR="00DE435B" w:rsidRPr="00A72AAF" w:rsidRDefault="00DE435B" w:rsidP="00746CF3">
            <w:pPr>
              <w:spacing w:after="0" w:line="240" w:lineRule="auto"/>
              <w:jc w:val="both"/>
              <w:rPr>
                <w:rFonts w:ascii="Times New Roman" w:eastAsiaTheme="minorHAnsi" w:hAnsi="Times New Roman"/>
                <w:sz w:val="18"/>
                <w:szCs w:val="18"/>
              </w:rPr>
            </w:pPr>
            <w:r w:rsidRPr="00A72AAF">
              <w:rPr>
                <w:rFonts w:ascii="Times New Roman" w:eastAsiaTheme="minorHAnsi" w:hAnsi="Times New Roman"/>
                <w:i/>
                <w:sz w:val="18"/>
                <w:szCs w:val="18"/>
              </w:rPr>
              <w:t>Mērķa vērtības noteikšanas principi/metodoloģija</w:t>
            </w:r>
            <w:r w:rsidRPr="00A72AAF">
              <w:rPr>
                <w:rFonts w:ascii="Times New Roman" w:eastAsiaTheme="minorHAnsi" w:hAnsi="Times New Roman"/>
                <w:sz w:val="18"/>
                <w:szCs w:val="18"/>
              </w:rPr>
              <w:t>:</w:t>
            </w:r>
          </w:p>
          <w:p w14:paraId="4608D4B7" w14:textId="77777777" w:rsidR="00DE435B" w:rsidRPr="00A72AAF" w:rsidRDefault="00DE435B" w:rsidP="00746CF3">
            <w:pPr>
              <w:pStyle w:val="ListParagraph"/>
              <w:numPr>
                <w:ilvl w:val="0"/>
                <w:numId w:val="1"/>
              </w:numPr>
              <w:spacing w:after="0" w:line="240" w:lineRule="auto"/>
              <w:ind w:left="205" w:hanging="219"/>
              <w:jc w:val="both"/>
              <w:rPr>
                <w:rFonts w:ascii="Times New Roman" w:eastAsiaTheme="minorHAnsi" w:hAnsi="Times New Roman"/>
                <w:sz w:val="18"/>
                <w:szCs w:val="18"/>
              </w:rPr>
            </w:pPr>
            <w:r w:rsidRPr="00A72AAF">
              <w:rPr>
                <w:rFonts w:ascii="Times New Roman" w:eastAsiaTheme="minorHAnsi" w:hAnsi="Times New Roman"/>
                <w:sz w:val="18"/>
                <w:szCs w:val="18"/>
              </w:rPr>
              <w:t>Bāzes vērtība noteikta saskaņā ar CSP rādītāju)- IVG05. „</w:t>
            </w:r>
            <w:proofErr w:type="spellStart"/>
            <w:r w:rsidRPr="00A72AAF">
              <w:rPr>
                <w:rFonts w:ascii="Times New Roman" w:eastAsiaTheme="minorHAnsi" w:hAnsi="Times New Roman"/>
                <w:sz w:val="18"/>
                <w:szCs w:val="18"/>
              </w:rPr>
              <w:t>Nefinanšu</w:t>
            </w:r>
            <w:proofErr w:type="spellEnd"/>
            <w:r w:rsidRPr="00A72AAF">
              <w:rPr>
                <w:rFonts w:ascii="Times New Roman" w:eastAsiaTheme="minorHAnsi" w:hAnsi="Times New Roman"/>
                <w:sz w:val="18"/>
                <w:szCs w:val="18"/>
              </w:rPr>
              <w:t xml:space="preserve"> investīcijas nemateriālajos ieguldījumos un pamatlīdzekļos pa darbības veidiem”</w:t>
            </w:r>
          </w:p>
          <w:p w14:paraId="5BD53E7B" w14:textId="77777777" w:rsidR="00DE435B" w:rsidRDefault="00DE435B" w:rsidP="00746CF3">
            <w:pPr>
              <w:pStyle w:val="ListParagraph"/>
              <w:numPr>
                <w:ilvl w:val="0"/>
                <w:numId w:val="1"/>
              </w:numPr>
              <w:spacing w:after="0" w:line="240" w:lineRule="auto"/>
              <w:ind w:left="205" w:hanging="219"/>
              <w:jc w:val="both"/>
              <w:rPr>
                <w:rFonts w:ascii="Times New Roman" w:eastAsiaTheme="minorHAnsi" w:hAnsi="Times New Roman"/>
                <w:sz w:val="18"/>
                <w:szCs w:val="18"/>
              </w:rPr>
            </w:pPr>
            <w:r w:rsidRPr="00A72AAF">
              <w:rPr>
                <w:rFonts w:ascii="Times New Roman" w:eastAsiaTheme="minorHAnsi" w:hAnsi="Times New Roman"/>
                <w:sz w:val="18"/>
                <w:szCs w:val="18"/>
              </w:rPr>
              <w:t>Mērķa vērtība noteikta, atbilstoši Finanšu ministrijas makroekonomisko pieņēmumu un prognožu skaitliskajām vidējām vērtībām līdz 2023.gadam</w:t>
            </w:r>
            <w:r w:rsidRPr="00A72AAF">
              <w:rPr>
                <w:rStyle w:val="FootnoteReference"/>
                <w:rFonts w:ascii="Times New Roman" w:eastAsiaTheme="minorHAnsi" w:hAnsi="Times New Roman"/>
                <w:sz w:val="18"/>
                <w:szCs w:val="18"/>
              </w:rPr>
              <w:footnoteReference w:id="3"/>
            </w:r>
            <w:r w:rsidRPr="00A72AAF">
              <w:rPr>
                <w:rFonts w:ascii="Times New Roman" w:eastAsiaTheme="minorHAnsi" w:hAnsi="Times New Roman"/>
                <w:sz w:val="18"/>
                <w:szCs w:val="18"/>
              </w:rPr>
              <w:t xml:space="preserve"> </w:t>
            </w:r>
            <w:r w:rsidRPr="00A72AAF">
              <w:rPr>
                <w:rFonts w:ascii="Times New Roman" w:eastAsiaTheme="minorHAnsi" w:hAnsi="Times New Roman"/>
                <w:sz w:val="18"/>
                <w:szCs w:val="18"/>
              </w:rPr>
              <w:lastRenderedPageBreak/>
              <w:t>proporcionāli iekšzemes kopprodukta izmaiņām (vidēji 2013.-2016.gadā – 4,1%, vidēji 2017.-2036.gadā – 1,9%).</w:t>
            </w:r>
          </w:p>
          <w:p w14:paraId="1ECAD1E6" w14:textId="77777777" w:rsidR="00DE435B" w:rsidRPr="00D66EC0" w:rsidRDefault="00DE435B" w:rsidP="00971060">
            <w:pPr>
              <w:spacing w:after="0" w:line="240" w:lineRule="auto"/>
              <w:jc w:val="both"/>
              <w:rPr>
                <w:rFonts w:ascii="Times New Roman" w:eastAsiaTheme="minorHAnsi" w:hAnsi="Times New Roman" w:cstheme="minorBidi"/>
                <w:sz w:val="18"/>
                <w:szCs w:val="18"/>
              </w:rPr>
            </w:pPr>
            <w:r w:rsidRPr="00D66EC0">
              <w:rPr>
                <w:rFonts w:ascii="Times New Roman" w:eastAsiaTheme="minorHAnsi" w:hAnsi="Times New Roman" w:cstheme="minorBidi"/>
                <w:sz w:val="18"/>
                <w:szCs w:val="18"/>
              </w:rPr>
              <w:t xml:space="preserve">r.3.3.1.b (R14) </w:t>
            </w:r>
            <w:r w:rsidRPr="00D66EC0">
              <w:rPr>
                <w:rFonts w:ascii="Times New Roman" w:eastAsiaTheme="minorHAnsi" w:hAnsi="Times New Roman" w:cstheme="minorBidi"/>
                <w:b/>
                <w:sz w:val="18"/>
                <w:szCs w:val="18"/>
              </w:rPr>
              <w:t>Strādājošo skaits (privātajā sektorā)</w:t>
            </w:r>
            <w:r w:rsidRPr="00D66EC0">
              <w:rPr>
                <w:b/>
                <w:sz w:val="18"/>
                <w:szCs w:val="18"/>
              </w:rPr>
              <w:t xml:space="preserve"> </w:t>
            </w:r>
            <w:r w:rsidRPr="00D66EC0">
              <w:rPr>
                <w:rFonts w:ascii="Times New Roman" w:eastAsiaTheme="minorHAnsi" w:hAnsi="Times New Roman" w:cstheme="minorBidi"/>
                <w:b/>
                <w:sz w:val="18"/>
                <w:szCs w:val="18"/>
              </w:rPr>
              <w:t>uzņēmumos, kuru ražošanas vai pakalpojuma sniegšanas vieta ir visa Latvija, izņemot Rīgu, strādājošo skaits</w:t>
            </w:r>
          </w:p>
          <w:p w14:paraId="65E31688" w14:textId="77777777" w:rsidR="00DE435B" w:rsidRPr="00D66EC0" w:rsidRDefault="00DE435B" w:rsidP="00971060">
            <w:pPr>
              <w:spacing w:after="0" w:line="240" w:lineRule="auto"/>
              <w:jc w:val="both"/>
              <w:rPr>
                <w:rFonts w:ascii="Times New Roman" w:eastAsiaTheme="minorHAnsi" w:hAnsi="Times New Roman" w:cstheme="minorBidi"/>
                <w:i/>
                <w:sz w:val="18"/>
                <w:szCs w:val="18"/>
              </w:rPr>
            </w:pPr>
          </w:p>
          <w:p w14:paraId="53E43F2A" w14:textId="77777777" w:rsidR="00DE435B" w:rsidRPr="00D66EC0" w:rsidRDefault="00DE435B" w:rsidP="00971060">
            <w:pPr>
              <w:spacing w:after="0" w:line="240" w:lineRule="auto"/>
              <w:jc w:val="both"/>
              <w:rPr>
                <w:rFonts w:ascii="Times New Roman" w:eastAsiaTheme="minorHAnsi" w:hAnsi="Times New Roman" w:cstheme="minorBidi"/>
                <w:i/>
                <w:sz w:val="18"/>
                <w:szCs w:val="18"/>
              </w:rPr>
            </w:pPr>
            <w:r w:rsidRPr="00D66EC0">
              <w:rPr>
                <w:rFonts w:ascii="Times New Roman" w:eastAsiaTheme="minorHAnsi" w:hAnsi="Times New Roman" w:cstheme="minorBidi"/>
                <w:i/>
                <w:sz w:val="18"/>
                <w:szCs w:val="18"/>
              </w:rPr>
              <w:t>Definīcija:</w:t>
            </w:r>
          </w:p>
          <w:p w14:paraId="76580D57" w14:textId="77777777" w:rsidR="00DE435B" w:rsidRPr="00D66EC0" w:rsidRDefault="00DE435B" w:rsidP="00971060">
            <w:pPr>
              <w:spacing w:after="0" w:line="240" w:lineRule="auto"/>
              <w:jc w:val="both"/>
              <w:rPr>
                <w:rFonts w:ascii="Times New Roman" w:eastAsiaTheme="minorHAnsi" w:hAnsi="Times New Roman" w:cstheme="minorBidi"/>
                <w:sz w:val="18"/>
                <w:szCs w:val="18"/>
              </w:rPr>
            </w:pPr>
            <w:r w:rsidRPr="00D66EC0">
              <w:rPr>
                <w:rFonts w:ascii="Times New Roman" w:eastAsiaTheme="minorHAnsi" w:hAnsi="Times New Roman" w:cstheme="minorBidi"/>
                <w:sz w:val="18"/>
                <w:szCs w:val="18"/>
              </w:rPr>
              <w:t xml:space="preserve">Strādājošo skaits pamatdarbā pēc faktiskās darbavietas uzņēmumos (privātajā sektorā), kuru ražošanas vai pakalpojuma sniegšanas vieta ir nacionālas un reģionālas nozīmes attīstības centru un to funkcionālās teritorijas </w:t>
            </w:r>
          </w:p>
          <w:p w14:paraId="2B04AFB4" w14:textId="77777777" w:rsidR="00DE435B" w:rsidRPr="00D66EC0" w:rsidRDefault="00DE435B" w:rsidP="00971060">
            <w:pPr>
              <w:spacing w:after="0" w:line="240" w:lineRule="auto"/>
              <w:jc w:val="both"/>
              <w:rPr>
                <w:rFonts w:ascii="Times New Roman" w:eastAsiaTheme="minorHAnsi" w:hAnsi="Times New Roman" w:cstheme="minorBidi"/>
                <w:i/>
                <w:sz w:val="18"/>
                <w:szCs w:val="18"/>
              </w:rPr>
            </w:pPr>
          </w:p>
          <w:p w14:paraId="6DD551D9" w14:textId="77777777" w:rsidR="00DE435B" w:rsidRPr="00D66EC0" w:rsidRDefault="00DE435B" w:rsidP="00971060">
            <w:pPr>
              <w:spacing w:after="0" w:line="240" w:lineRule="auto"/>
              <w:jc w:val="both"/>
              <w:rPr>
                <w:rFonts w:ascii="Times New Roman" w:eastAsiaTheme="minorHAnsi" w:hAnsi="Times New Roman" w:cstheme="minorBidi"/>
                <w:sz w:val="18"/>
                <w:szCs w:val="18"/>
              </w:rPr>
            </w:pPr>
            <w:r w:rsidRPr="00D66EC0">
              <w:rPr>
                <w:rFonts w:ascii="Times New Roman" w:eastAsiaTheme="minorHAnsi" w:hAnsi="Times New Roman" w:cstheme="minorBidi"/>
                <w:i/>
                <w:sz w:val="18"/>
                <w:szCs w:val="18"/>
              </w:rPr>
              <w:t>Bāzes vērtība un tās noteikšanas gads</w:t>
            </w:r>
            <w:r w:rsidRPr="00D66EC0">
              <w:rPr>
                <w:rFonts w:ascii="Times New Roman" w:eastAsiaTheme="minorHAnsi" w:hAnsi="Times New Roman" w:cstheme="minorBidi"/>
                <w:sz w:val="18"/>
                <w:szCs w:val="18"/>
              </w:rPr>
              <w:t>:</w:t>
            </w:r>
          </w:p>
          <w:p w14:paraId="2BB1DA49" w14:textId="77777777" w:rsidR="00DE435B" w:rsidRPr="00D66EC0" w:rsidRDefault="00DE435B" w:rsidP="00971060">
            <w:pPr>
              <w:spacing w:after="0" w:line="240" w:lineRule="auto"/>
              <w:jc w:val="both"/>
              <w:rPr>
                <w:rFonts w:ascii="Times New Roman" w:eastAsiaTheme="minorHAnsi" w:hAnsi="Times New Roman" w:cstheme="minorBidi"/>
                <w:sz w:val="18"/>
                <w:szCs w:val="18"/>
              </w:rPr>
            </w:pPr>
            <w:r w:rsidRPr="00D66EC0">
              <w:rPr>
                <w:rFonts w:ascii="Times New Roman" w:eastAsiaTheme="minorHAnsi" w:hAnsi="Times New Roman" w:cstheme="minorBidi"/>
                <w:sz w:val="18"/>
                <w:szCs w:val="18"/>
              </w:rPr>
              <w:t>429,9 tūkst. (2011.g.)</w:t>
            </w:r>
          </w:p>
          <w:p w14:paraId="610FDE16" w14:textId="77777777" w:rsidR="00DE435B" w:rsidRPr="00D66EC0" w:rsidRDefault="00DE435B" w:rsidP="00971060">
            <w:pPr>
              <w:spacing w:after="0" w:line="240" w:lineRule="auto"/>
              <w:jc w:val="both"/>
              <w:rPr>
                <w:rFonts w:ascii="Times New Roman" w:eastAsiaTheme="minorHAnsi" w:hAnsi="Times New Roman" w:cstheme="minorBidi"/>
                <w:i/>
                <w:sz w:val="18"/>
                <w:szCs w:val="18"/>
              </w:rPr>
            </w:pPr>
          </w:p>
          <w:p w14:paraId="38C7DB58" w14:textId="77777777" w:rsidR="00DE435B" w:rsidRPr="00D66EC0" w:rsidRDefault="00DE435B" w:rsidP="00971060">
            <w:pPr>
              <w:spacing w:after="0" w:line="240" w:lineRule="auto"/>
              <w:jc w:val="both"/>
              <w:rPr>
                <w:rFonts w:ascii="Times New Roman" w:eastAsiaTheme="minorHAnsi" w:hAnsi="Times New Roman" w:cstheme="minorBidi"/>
                <w:sz w:val="18"/>
                <w:szCs w:val="18"/>
              </w:rPr>
            </w:pPr>
            <w:r w:rsidRPr="00D66EC0">
              <w:rPr>
                <w:rFonts w:ascii="Times New Roman" w:eastAsiaTheme="minorHAnsi" w:hAnsi="Times New Roman" w:cstheme="minorBidi"/>
                <w:i/>
                <w:sz w:val="18"/>
                <w:szCs w:val="18"/>
              </w:rPr>
              <w:t>Datu avots</w:t>
            </w:r>
            <w:r w:rsidRPr="00D66EC0">
              <w:rPr>
                <w:rFonts w:ascii="Times New Roman" w:eastAsiaTheme="minorHAnsi" w:hAnsi="Times New Roman" w:cstheme="minorBidi"/>
                <w:sz w:val="18"/>
                <w:szCs w:val="18"/>
              </w:rPr>
              <w:t>:</w:t>
            </w:r>
          </w:p>
          <w:p w14:paraId="66368147" w14:textId="128B64C1" w:rsidR="00DE435B" w:rsidRPr="00D66EC0" w:rsidRDefault="00DE435B" w:rsidP="00971060">
            <w:pPr>
              <w:spacing w:after="0" w:line="240" w:lineRule="auto"/>
              <w:jc w:val="both"/>
              <w:rPr>
                <w:rFonts w:ascii="Times New Roman" w:eastAsiaTheme="minorHAnsi" w:hAnsi="Times New Roman" w:cstheme="minorBidi"/>
                <w:sz w:val="18"/>
                <w:szCs w:val="18"/>
              </w:rPr>
            </w:pPr>
            <w:r w:rsidRPr="00D66EC0">
              <w:rPr>
                <w:rFonts w:ascii="Times New Roman" w:eastAsiaTheme="minorHAnsi" w:hAnsi="Times New Roman" w:cstheme="minorBidi"/>
                <w:sz w:val="18"/>
                <w:szCs w:val="18"/>
              </w:rPr>
              <w:t>CSP</w:t>
            </w:r>
            <w:r w:rsidR="00361C50">
              <w:rPr>
                <w:rFonts w:ascii="Times New Roman" w:eastAsiaTheme="minorHAnsi" w:hAnsi="Times New Roman" w:cstheme="minorBidi"/>
                <w:sz w:val="18"/>
                <w:szCs w:val="18"/>
              </w:rPr>
              <w:t xml:space="preserve"> </w:t>
            </w:r>
            <w:r w:rsidR="00361C50">
              <w:rPr>
                <w:rFonts w:ascii="Times New Roman" w:eastAsiaTheme="minorHAnsi" w:hAnsi="Times New Roman"/>
                <w:sz w:val="18"/>
                <w:szCs w:val="18"/>
              </w:rPr>
              <w:t>(speciāli gatavotā, nepublicētā informācija)</w:t>
            </w:r>
          </w:p>
          <w:p w14:paraId="540A777A" w14:textId="77777777" w:rsidR="00DE435B" w:rsidRPr="00D66EC0" w:rsidRDefault="00DE435B" w:rsidP="00971060">
            <w:pPr>
              <w:spacing w:after="0" w:line="240" w:lineRule="auto"/>
              <w:jc w:val="both"/>
              <w:rPr>
                <w:rFonts w:ascii="Times New Roman" w:eastAsiaTheme="minorHAnsi" w:hAnsi="Times New Roman" w:cstheme="minorBidi"/>
                <w:i/>
                <w:sz w:val="18"/>
                <w:szCs w:val="18"/>
              </w:rPr>
            </w:pPr>
          </w:p>
          <w:p w14:paraId="309678BC" w14:textId="77777777" w:rsidR="00DE435B" w:rsidRPr="00D66EC0" w:rsidRDefault="00DE435B" w:rsidP="00971060">
            <w:pPr>
              <w:spacing w:after="0" w:line="240" w:lineRule="auto"/>
              <w:jc w:val="both"/>
              <w:rPr>
                <w:rFonts w:ascii="Times New Roman" w:eastAsiaTheme="minorHAnsi" w:hAnsi="Times New Roman" w:cstheme="minorBidi"/>
                <w:i/>
                <w:sz w:val="18"/>
                <w:szCs w:val="18"/>
              </w:rPr>
            </w:pPr>
            <w:r w:rsidRPr="00D66EC0">
              <w:rPr>
                <w:rFonts w:ascii="Times New Roman" w:eastAsiaTheme="minorHAnsi" w:hAnsi="Times New Roman" w:cstheme="minorBidi"/>
                <w:i/>
                <w:sz w:val="18"/>
                <w:szCs w:val="18"/>
              </w:rPr>
              <w:t>Apkopošanas biežums un ieguves metodoloģija:</w:t>
            </w:r>
          </w:p>
          <w:p w14:paraId="17A28FFA" w14:textId="77777777" w:rsidR="00DE435B" w:rsidRPr="00D66EC0" w:rsidRDefault="00DE435B" w:rsidP="00971060">
            <w:pPr>
              <w:spacing w:after="0" w:line="240" w:lineRule="auto"/>
              <w:jc w:val="both"/>
              <w:rPr>
                <w:rFonts w:ascii="Times New Roman" w:eastAsiaTheme="minorHAnsi" w:hAnsi="Times New Roman" w:cstheme="minorBidi"/>
                <w:sz w:val="18"/>
                <w:szCs w:val="18"/>
              </w:rPr>
            </w:pPr>
            <w:r w:rsidRPr="00D66EC0">
              <w:rPr>
                <w:rFonts w:ascii="Times New Roman" w:eastAsiaTheme="minorHAnsi" w:hAnsi="Times New Roman" w:cstheme="minorBidi"/>
                <w:sz w:val="18"/>
                <w:szCs w:val="18"/>
              </w:rPr>
              <w:t>Reizi gadā</w:t>
            </w:r>
          </w:p>
          <w:p w14:paraId="527A2ED4" w14:textId="77777777" w:rsidR="00DE435B" w:rsidRPr="00D66EC0" w:rsidRDefault="00DE435B" w:rsidP="00971060">
            <w:pPr>
              <w:spacing w:after="0" w:line="240" w:lineRule="auto"/>
              <w:jc w:val="both"/>
              <w:rPr>
                <w:rFonts w:ascii="Times New Roman" w:eastAsiaTheme="minorHAnsi" w:hAnsi="Times New Roman" w:cstheme="minorBidi"/>
                <w:i/>
                <w:sz w:val="18"/>
                <w:szCs w:val="18"/>
              </w:rPr>
            </w:pPr>
          </w:p>
          <w:p w14:paraId="34636005" w14:textId="77777777" w:rsidR="00DE435B" w:rsidRPr="00D66EC0" w:rsidRDefault="00DE435B" w:rsidP="00971060">
            <w:pPr>
              <w:spacing w:after="0" w:line="240" w:lineRule="auto"/>
              <w:jc w:val="both"/>
              <w:rPr>
                <w:rFonts w:ascii="Times New Roman" w:eastAsiaTheme="minorHAnsi" w:hAnsi="Times New Roman" w:cstheme="minorBidi"/>
                <w:sz w:val="18"/>
                <w:szCs w:val="18"/>
              </w:rPr>
            </w:pPr>
            <w:r w:rsidRPr="00D66EC0">
              <w:rPr>
                <w:rFonts w:ascii="Times New Roman" w:eastAsiaTheme="minorHAnsi" w:hAnsi="Times New Roman" w:cstheme="minorBidi"/>
                <w:i/>
                <w:sz w:val="18"/>
                <w:szCs w:val="18"/>
              </w:rPr>
              <w:t>Mērķis 2023</w:t>
            </w:r>
            <w:r w:rsidRPr="00D66EC0">
              <w:rPr>
                <w:rFonts w:ascii="Times New Roman" w:eastAsiaTheme="minorHAnsi" w:hAnsi="Times New Roman" w:cstheme="minorBidi"/>
                <w:sz w:val="18"/>
                <w:szCs w:val="18"/>
              </w:rPr>
              <w:t>:</w:t>
            </w:r>
          </w:p>
          <w:p w14:paraId="636773F6" w14:textId="77777777" w:rsidR="00507725" w:rsidRDefault="00507725" w:rsidP="00971060">
            <w:pPr>
              <w:spacing w:after="0" w:line="240" w:lineRule="auto"/>
              <w:jc w:val="both"/>
              <w:rPr>
                <w:rFonts w:ascii="Times New Roman" w:eastAsiaTheme="minorHAnsi" w:hAnsi="Times New Roman" w:cstheme="minorBidi"/>
                <w:sz w:val="18"/>
                <w:szCs w:val="18"/>
              </w:rPr>
            </w:pPr>
            <w:r w:rsidRPr="00507725">
              <w:rPr>
                <w:rFonts w:ascii="Times New Roman" w:eastAsiaTheme="minorHAnsi" w:hAnsi="Times New Roman" w:cstheme="minorBidi"/>
                <w:sz w:val="18"/>
                <w:szCs w:val="18"/>
              </w:rPr>
              <w:t>446,3 – 475,1, t.sk. integrēto terito</w:t>
            </w:r>
            <w:r w:rsidR="00EE6E39">
              <w:rPr>
                <w:rFonts w:ascii="Times New Roman" w:eastAsiaTheme="minorHAnsi" w:hAnsi="Times New Roman" w:cstheme="minorBidi"/>
                <w:sz w:val="18"/>
                <w:szCs w:val="18"/>
              </w:rPr>
              <w:t>riālo investīciju ietvaros – 441,0 – 469</w:t>
            </w:r>
            <w:r w:rsidRPr="00507725">
              <w:rPr>
                <w:rFonts w:ascii="Times New Roman" w:eastAsiaTheme="minorHAnsi" w:hAnsi="Times New Roman" w:cstheme="minorBidi"/>
                <w:sz w:val="18"/>
                <w:szCs w:val="18"/>
              </w:rPr>
              <w:t xml:space="preserve">,8 </w:t>
            </w:r>
          </w:p>
          <w:p w14:paraId="12D87D89" w14:textId="77777777" w:rsidR="00DE435B" w:rsidRPr="00D66EC0" w:rsidRDefault="00DE435B" w:rsidP="00971060">
            <w:pPr>
              <w:spacing w:after="0" w:line="240" w:lineRule="auto"/>
              <w:jc w:val="both"/>
              <w:rPr>
                <w:rFonts w:ascii="Times New Roman" w:eastAsiaTheme="minorHAnsi" w:hAnsi="Times New Roman" w:cstheme="minorBidi"/>
                <w:sz w:val="18"/>
                <w:szCs w:val="18"/>
              </w:rPr>
            </w:pPr>
            <w:r w:rsidRPr="00D66EC0">
              <w:rPr>
                <w:rFonts w:ascii="Times New Roman" w:eastAsiaTheme="minorHAnsi" w:hAnsi="Times New Roman" w:cstheme="minorBidi"/>
                <w:sz w:val="18"/>
                <w:szCs w:val="18"/>
              </w:rPr>
              <w:t>(atbilstoši EM vispārējām prognozēm)</w:t>
            </w:r>
          </w:p>
          <w:p w14:paraId="1654AA18" w14:textId="77777777" w:rsidR="00DE435B" w:rsidRPr="00D66EC0" w:rsidRDefault="00DE435B" w:rsidP="00971060">
            <w:pPr>
              <w:spacing w:after="0" w:line="240" w:lineRule="auto"/>
              <w:jc w:val="both"/>
              <w:rPr>
                <w:rFonts w:ascii="Times New Roman" w:eastAsiaTheme="minorHAnsi" w:hAnsi="Times New Roman" w:cstheme="minorBidi"/>
                <w:i/>
                <w:sz w:val="18"/>
                <w:szCs w:val="18"/>
              </w:rPr>
            </w:pPr>
          </w:p>
          <w:p w14:paraId="490E0C79" w14:textId="77777777" w:rsidR="00DE435B" w:rsidRPr="00D66EC0" w:rsidRDefault="00DE435B" w:rsidP="00971060">
            <w:pPr>
              <w:spacing w:after="0" w:line="240" w:lineRule="auto"/>
              <w:jc w:val="both"/>
              <w:rPr>
                <w:rFonts w:ascii="Times New Roman" w:eastAsiaTheme="minorHAnsi" w:hAnsi="Times New Roman" w:cstheme="minorBidi"/>
                <w:sz w:val="18"/>
                <w:szCs w:val="18"/>
              </w:rPr>
            </w:pPr>
            <w:r w:rsidRPr="00D66EC0">
              <w:rPr>
                <w:rFonts w:ascii="Times New Roman" w:eastAsiaTheme="minorHAnsi" w:hAnsi="Times New Roman" w:cstheme="minorBidi"/>
                <w:i/>
                <w:sz w:val="18"/>
                <w:szCs w:val="18"/>
              </w:rPr>
              <w:t>Mērķa vērtības noteikšanas principi/metodoloģija</w:t>
            </w:r>
            <w:r w:rsidRPr="00D66EC0">
              <w:rPr>
                <w:rFonts w:ascii="Times New Roman" w:eastAsiaTheme="minorHAnsi" w:hAnsi="Times New Roman" w:cstheme="minorBidi"/>
                <w:sz w:val="18"/>
                <w:szCs w:val="18"/>
              </w:rPr>
              <w:t>:</w:t>
            </w:r>
          </w:p>
          <w:p w14:paraId="3B0148D0" w14:textId="77777777" w:rsidR="00DE435B" w:rsidRPr="00D66EC0" w:rsidRDefault="00DE435B" w:rsidP="00971060">
            <w:pPr>
              <w:pStyle w:val="ListParagraph"/>
              <w:numPr>
                <w:ilvl w:val="0"/>
                <w:numId w:val="1"/>
              </w:numPr>
              <w:spacing w:after="0" w:line="240" w:lineRule="auto"/>
              <w:ind w:left="205" w:hanging="219"/>
              <w:jc w:val="both"/>
              <w:rPr>
                <w:rFonts w:ascii="Times New Roman" w:eastAsiaTheme="minorHAnsi" w:hAnsi="Times New Roman" w:cstheme="minorBidi"/>
                <w:sz w:val="18"/>
                <w:szCs w:val="18"/>
              </w:rPr>
            </w:pPr>
            <w:r w:rsidRPr="00D66EC0">
              <w:rPr>
                <w:rFonts w:ascii="Times New Roman" w:eastAsiaTheme="minorHAnsi" w:hAnsi="Times New Roman" w:cstheme="minorBidi"/>
                <w:sz w:val="18"/>
                <w:szCs w:val="18"/>
              </w:rPr>
              <w:t>Strādājošo skaits noteikts uzņēmumos, kuru ražošanas vai pakalpojuma sniegšanas vieta ir pašvaldības, izņemot Rīgu;</w:t>
            </w:r>
          </w:p>
          <w:p w14:paraId="3B5318A6" w14:textId="77777777" w:rsidR="00DE435B" w:rsidRPr="00D66EC0" w:rsidRDefault="00DE435B" w:rsidP="00971060">
            <w:pPr>
              <w:pStyle w:val="ListParagraph"/>
              <w:numPr>
                <w:ilvl w:val="0"/>
                <w:numId w:val="1"/>
              </w:numPr>
              <w:spacing w:after="0" w:line="240" w:lineRule="auto"/>
              <w:ind w:left="205" w:hanging="219"/>
              <w:jc w:val="both"/>
              <w:rPr>
                <w:rFonts w:ascii="Times New Roman" w:eastAsiaTheme="minorHAnsi" w:hAnsi="Times New Roman" w:cstheme="minorBidi"/>
                <w:sz w:val="18"/>
                <w:szCs w:val="18"/>
              </w:rPr>
            </w:pPr>
            <w:r w:rsidRPr="00D66EC0">
              <w:rPr>
                <w:rFonts w:ascii="Times New Roman" w:eastAsiaTheme="minorHAnsi" w:hAnsi="Times New Roman" w:cstheme="minorBidi"/>
                <w:sz w:val="18"/>
                <w:szCs w:val="18"/>
              </w:rPr>
              <w:t>Bāzes vērtība noteikta saskaņā ar CSP rādītāju Nr.jvsg071.„Strādājošo skaits pamatdarbā pēc faktiskās darbavietas republikas pilsētās, novados un reģionos”</w:t>
            </w:r>
            <w:r>
              <w:rPr>
                <w:rFonts w:ascii="Times New Roman" w:eastAsiaTheme="minorHAnsi" w:hAnsi="Times New Roman" w:cstheme="minorBidi"/>
                <w:sz w:val="18"/>
                <w:szCs w:val="18"/>
              </w:rPr>
              <w:t>.</w:t>
            </w:r>
          </w:p>
          <w:p w14:paraId="7DE55DE9" w14:textId="77777777" w:rsidR="00DE435B" w:rsidRPr="00D66EC0" w:rsidRDefault="00DE435B" w:rsidP="00971060">
            <w:pPr>
              <w:pStyle w:val="ListParagraph"/>
              <w:numPr>
                <w:ilvl w:val="0"/>
                <w:numId w:val="1"/>
              </w:numPr>
              <w:spacing w:after="0" w:line="240" w:lineRule="auto"/>
              <w:ind w:left="205" w:hanging="219"/>
              <w:jc w:val="both"/>
              <w:rPr>
                <w:rFonts w:ascii="Times New Roman" w:eastAsiaTheme="minorHAnsi" w:hAnsi="Times New Roman" w:cstheme="minorBidi"/>
                <w:sz w:val="18"/>
                <w:szCs w:val="18"/>
              </w:rPr>
            </w:pPr>
            <w:r w:rsidRPr="00D66EC0">
              <w:rPr>
                <w:rFonts w:ascii="Times New Roman" w:eastAsiaTheme="minorHAnsi" w:hAnsi="Times New Roman" w:cstheme="minorBidi"/>
                <w:sz w:val="18"/>
                <w:szCs w:val="18"/>
              </w:rPr>
              <w:t xml:space="preserve">Mērķa vērtība noteikta, balstoties uz Ekonomikas ministrijas 2012.gada „Informatīvo ziņojumu par darba tirgus vidēja un ilgtermiņa prognozēm”, </w:t>
            </w:r>
            <w:proofErr w:type="spellStart"/>
            <w:r w:rsidRPr="00D66EC0">
              <w:rPr>
                <w:rFonts w:ascii="Times New Roman" w:eastAsiaTheme="minorHAnsi" w:hAnsi="Times New Roman" w:cstheme="minorBidi"/>
                <w:sz w:val="18"/>
                <w:szCs w:val="18"/>
              </w:rPr>
              <w:t>ekstrapolējot</w:t>
            </w:r>
            <w:proofErr w:type="spellEnd"/>
            <w:r w:rsidRPr="00D66EC0">
              <w:rPr>
                <w:rFonts w:ascii="Times New Roman" w:eastAsiaTheme="minorHAnsi" w:hAnsi="Times New Roman" w:cstheme="minorBidi"/>
                <w:sz w:val="18"/>
                <w:szCs w:val="18"/>
              </w:rPr>
              <w:t xml:space="preserve"> nodarbināto iedzīvotāju skaita vājas izaugsmes scenārija prognozi uz 2023.gadu un specifisko atbalsta mērķu ietekmes aprēķinu, pieņemot, ka vidēji vienas darbavietas radīšanai nepieciešamas investīcijas 41 000 </w:t>
            </w:r>
            <w:proofErr w:type="spellStart"/>
            <w:r w:rsidRPr="00D66EC0">
              <w:rPr>
                <w:rFonts w:ascii="Times New Roman" w:eastAsiaTheme="minorHAnsi" w:hAnsi="Times New Roman" w:cstheme="minorBidi"/>
                <w:i/>
                <w:sz w:val="18"/>
                <w:szCs w:val="18"/>
              </w:rPr>
              <w:t>euro</w:t>
            </w:r>
            <w:proofErr w:type="spellEnd"/>
            <w:r w:rsidRPr="00D66EC0">
              <w:rPr>
                <w:rFonts w:ascii="Times New Roman" w:eastAsiaTheme="minorHAnsi" w:hAnsi="Times New Roman" w:cstheme="minorBidi"/>
                <w:sz w:val="18"/>
                <w:szCs w:val="18"/>
              </w:rPr>
              <w:t xml:space="preserve"> apmērā.</w:t>
            </w:r>
          </w:p>
          <w:p w14:paraId="6350AA08" w14:textId="77777777" w:rsidR="00DE435B" w:rsidRPr="00D66EC0" w:rsidRDefault="00DE435B" w:rsidP="00971060">
            <w:pPr>
              <w:pStyle w:val="ListParagraph"/>
              <w:numPr>
                <w:ilvl w:val="0"/>
                <w:numId w:val="1"/>
              </w:numPr>
              <w:spacing w:after="0" w:line="240" w:lineRule="auto"/>
              <w:ind w:left="205" w:hanging="219"/>
              <w:jc w:val="both"/>
              <w:rPr>
                <w:rFonts w:ascii="Times New Roman" w:eastAsiaTheme="minorHAnsi" w:hAnsi="Times New Roman" w:cstheme="minorBidi"/>
                <w:sz w:val="18"/>
                <w:szCs w:val="18"/>
              </w:rPr>
            </w:pPr>
            <w:r w:rsidRPr="00D66EC0">
              <w:rPr>
                <w:rFonts w:ascii="Times New Roman" w:eastAsiaTheme="minorHAnsi" w:hAnsi="Times New Roman" w:cstheme="minorBidi"/>
                <w:sz w:val="18"/>
                <w:szCs w:val="18"/>
              </w:rPr>
              <w:t>Rezultāta noteikšanā ņemta vērā Finanšu ministrijas Makroekonomisko pieņēmumu un prognožu skaitliskās vērtības, diskontējot prognozi ietekmējošos rādītājus.</w:t>
            </w:r>
          </w:p>
          <w:p w14:paraId="2897CE73" w14:textId="77777777" w:rsidR="00DE435B" w:rsidRPr="00D66EC0" w:rsidRDefault="00DE435B" w:rsidP="00971060">
            <w:pPr>
              <w:pStyle w:val="ListParagraph"/>
              <w:numPr>
                <w:ilvl w:val="0"/>
                <w:numId w:val="1"/>
              </w:numPr>
              <w:spacing w:after="0" w:line="240" w:lineRule="auto"/>
              <w:ind w:left="205" w:hanging="219"/>
              <w:jc w:val="both"/>
              <w:rPr>
                <w:rFonts w:ascii="Times New Roman" w:eastAsiaTheme="minorHAnsi" w:hAnsi="Times New Roman" w:cstheme="minorBidi"/>
                <w:sz w:val="18"/>
                <w:szCs w:val="18"/>
              </w:rPr>
            </w:pPr>
            <w:r w:rsidRPr="00D66EC0">
              <w:rPr>
                <w:rFonts w:ascii="Times New Roman" w:eastAsiaTheme="minorHAnsi" w:hAnsi="Times New Roman" w:cstheme="minorBidi"/>
                <w:sz w:val="18"/>
                <w:szCs w:val="18"/>
              </w:rPr>
              <w:t>Vispārējās ekonomiskās izaugsmes ietekme – 23,3 tūkst. strādājošo, 3.3.</w:t>
            </w:r>
            <w:r>
              <w:rPr>
                <w:rFonts w:ascii="Times New Roman" w:eastAsiaTheme="minorHAnsi" w:hAnsi="Times New Roman" w:cstheme="minorBidi"/>
                <w:sz w:val="18"/>
                <w:szCs w:val="18"/>
              </w:rPr>
              <w:t>1</w:t>
            </w:r>
            <w:r w:rsidRPr="00D66EC0">
              <w:rPr>
                <w:rFonts w:ascii="Times New Roman" w:eastAsiaTheme="minorHAnsi" w:hAnsi="Times New Roman" w:cstheme="minorBidi"/>
                <w:sz w:val="18"/>
                <w:szCs w:val="18"/>
              </w:rPr>
              <w:t xml:space="preserve">.specifiskā atbalsta mērķa </w:t>
            </w:r>
            <w:r w:rsidRPr="00D66EC0">
              <w:rPr>
                <w:rFonts w:ascii="Times New Roman" w:eastAsiaTheme="minorHAnsi" w:hAnsi="Times New Roman" w:cstheme="minorBidi"/>
                <w:sz w:val="18"/>
                <w:szCs w:val="18"/>
              </w:rPr>
              <w:lastRenderedPageBreak/>
              <w:t>ietekme – 1,5 tūkst. strādājošo, bet 5.6.2.specifiskā atbalsta mērķa ietekme – 5,8 tūkst. strādājošo.</w:t>
            </w:r>
          </w:p>
          <w:p w14:paraId="62D7C793" w14:textId="77777777" w:rsidR="00DE435B" w:rsidRPr="00A72AAF" w:rsidRDefault="00DE435B" w:rsidP="00971060">
            <w:pPr>
              <w:pStyle w:val="ListParagraph"/>
              <w:spacing w:after="0" w:line="240" w:lineRule="auto"/>
              <w:ind w:left="-14"/>
              <w:jc w:val="both"/>
              <w:rPr>
                <w:rFonts w:ascii="Times New Roman" w:eastAsiaTheme="minorHAnsi" w:hAnsi="Times New Roman"/>
                <w:sz w:val="18"/>
                <w:szCs w:val="18"/>
              </w:rPr>
            </w:pPr>
          </w:p>
        </w:tc>
        <w:tc>
          <w:tcPr>
            <w:tcW w:w="4026" w:type="dxa"/>
          </w:tcPr>
          <w:p w14:paraId="0B103C48" w14:textId="77777777" w:rsidR="00DE435B" w:rsidRPr="006B5BA6" w:rsidRDefault="00DE435B" w:rsidP="00EA74B8">
            <w:pPr>
              <w:spacing w:after="0" w:line="240" w:lineRule="auto"/>
              <w:rPr>
                <w:rFonts w:ascii="Times New Roman" w:eastAsiaTheme="minorHAnsi" w:hAnsi="Times New Roman"/>
                <w:sz w:val="18"/>
                <w:szCs w:val="18"/>
              </w:rPr>
            </w:pPr>
            <w:r w:rsidRPr="006B5BA6">
              <w:rPr>
                <w:rFonts w:ascii="Times New Roman" w:eastAsiaTheme="minorHAnsi" w:hAnsi="Times New Roman"/>
                <w:i/>
                <w:sz w:val="18"/>
                <w:szCs w:val="18"/>
              </w:rPr>
              <w:lastRenderedPageBreak/>
              <w:t>IR1 nosaukums un mērvienība</w:t>
            </w:r>
            <w:r w:rsidRPr="006B5BA6">
              <w:rPr>
                <w:rFonts w:ascii="Times New Roman" w:eastAsiaTheme="minorHAnsi" w:hAnsi="Times New Roman"/>
                <w:sz w:val="18"/>
                <w:szCs w:val="18"/>
              </w:rPr>
              <w:t>:</w:t>
            </w:r>
          </w:p>
          <w:p w14:paraId="08E53C86" w14:textId="77777777" w:rsidR="00DE435B" w:rsidRDefault="00DE435B" w:rsidP="00EA74B8">
            <w:pPr>
              <w:spacing w:after="0" w:line="240" w:lineRule="auto"/>
              <w:rPr>
                <w:rFonts w:ascii="Times New Roman" w:eastAsiaTheme="minorHAnsi" w:hAnsi="Times New Roman"/>
                <w:b/>
                <w:sz w:val="18"/>
                <w:szCs w:val="18"/>
              </w:rPr>
            </w:pPr>
            <w:r w:rsidRPr="00911F52">
              <w:rPr>
                <w:sz w:val="20"/>
                <w:szCs w:val="20"/>
              </w:rPr>
              <w:t>i.</w:t>
            </w:r>
            <w:r w:rsidRPr="00911F52">
              <w:rPr>
                <w:sz w:val="20"/>
              </w:rPr>
              <w:t>3.3.1.a</w:t>
            </w:r>
            <w:r>
              <w:rPr>
                <w:sz w:val="20"/>
              </w:rPr>
              <w:t>k</w:t>
            </w:r>
            <w:r w:rsidRPr="00911F52">
              <w:rPr>
                <w:sz w:val="20"/>
                <w:szCs w:val="20"/>
              </w:rPr>
              <w:t xml:space="preserve"> (</w:t>
            </w:r>
            <w:r>
              <w:rPr>
                <w:sz w:val="20"/>
                <w:szCs w:val="20"/>
              </w:rPr>
              <w:t>CO01</w:t>
            </w:r>
            <w:r w:rsidRPr="00911F52">
              <w:rPr>
                <w:sz w:val="20"/>
                <w:szCs w:val="20"/>
              </w:rPr>
              <w:t>)</w:t>
            </w:r>
            <w:r w:rsidRPr="00971060">
              <w:rPr>
                <w:rFonts w:ascii="Times New Roman" w:eastAsiaTheme="minorHAnsi" w:hAnsi="Times New Roman"/>
                <w:b/>
                <w:sz w:val="18"/>
                <w:szCs w:val="18"/>
              </w:rPr>
              <w:t>To komersantu skaits, kuri saņem atbalstu</w:t>
            </w:r>
            <w:r>
              <w:rPr>
                <w:rFonts w:ascii="Times New Roman" w:eastAsiaTheme="minorHAnsi" w:hAnsi="Times New Roman"/>
                <w:b/>
                <w:sz w:val="18"/>
                <w:szCs w:val="18"/>
              </w:rPr>
              <w:t>, komersanti</w:t>
            </w:r>
            <w:r w:rsidR="009B6504">
              <w:rPr>
                <w:rStyle w:val="FootnoteReference"/>
                <w:rFonts w:ascii="Times New Roman" w:eastAsiaTheme="minorHAnsi" w:hAnsi="Times New Roman"/>
                <w:b/>
                <w:sz w:val="18"/>
                <w:szCs w:val="18"/>
              </w:rPr>
              <w:footnoteReference w:id="4"/>
            </w:r>
            <w:r w:rsidRPr="00971060">
              <w:rPr>
                <w:rFonts w:ascii="Times New Roman" w:eastAsiaTheme="minorHAnsi" w:hAnsi="Times New Roman"/>
                <w:b/>
                <w:sz w:val="18"/>
                <w:szCs w:val="18"/>
              </w:rPr>
              <w:t xml:space="preserve"> </w:t>
            </w:r>
          </w:p>
          <w:p w14:paraId="5D4F9427" w14:textId="77777777" w:rsidR="00DE435B" w:rsidRDefault="00DE435B" w:rsidP="00EA74B8">
            <w:pPr>
              <w:spacing w:after="0" w:line="240" w:lineRule="auto"/>
              <w:rPr>
                <w:rFonts w:ascii="Times New Roman" w:eastAsiaTheme="minorHAnsi" w:hAnsi="Times New Roman"/>
                <w:b/>
                <w:sz w:val="18"/>
                <w:szCs w:val="18"/>
              </w:rPr>
            </w:pPr>
          </w:p>
          <w:p w14:paraId="50F39434" w14:textId="77777777" w:rsidR="00DE435B" w:rsidRPr="00A72AAF" w:rsidRDefault="00DE435B" w:rsidP="00EA74B8">
            <w:pPr>
              <w:spacing w:after="0" w:line="240" w:lineRule="auto"/>
              <w:rPr>
                <w:rFonts w:ascii="Times New Roman" w:eastAsiaTheme="minorHAnsi" w:hAnsi="Times New Roman"/>
                <w:i/>
                <w:sz w:val="18"/>
                <w:szCs w:val="18"/>
              </w:rPr>
            </w:pPr>
            <w:r w:rsidRPr="00A72AAF">
              <w:rPr>
                <w:rFonts w:ascii="Times New Roman" w:eastAsiaTheme="minorHAnsi" w:hAnsi="Times New Roman"/>
                <w:i/>
                <w:sz w:val="18"/>
                <w:szCs w:val="18"/>
              </w:rPr>
              <w:t>Definīcija</w:t>
            </w:r>
          </w:p>
          <w:p w14:paraId="2B896848" w14:textId="77777777" w:rsidR="00DE435B" w:rsidRPr="00A72AAF" w:rsidRDefault="00DE435B" w:rsidP="00EA74B8">
            <w:pPr>
              <w:spacing w:after="0" w:line="240" w:lineRule="auto"/>
              <w:rPr>
                <w:rFonts w:ascii="Times New Roman" w:eastAsiaTheme="minorHAnsi" w:hAnsi="Times New Roman"/>
                <w:sz w:val="18"/>
                <w:szCs w:val="18"/>
              </w:rPr>
            </w:pPr>
            <w:r>
              <w:rPr>
                <w:rFonts w:ascii="Times New Roman" w:eastAsiaTheme="minorHAnsi" w:hAnsi="Times New Roman"/>
                <w:sz w:val="18"/>
                <w:szCs w:val="18"/>
              </w:rPr>
              <w:t>kopējais</w:t>
            </w:r>
          </w:p>
          <w:p w14:paraId="51726061" w14:textId="77777777" w:rsidR="00DE435B" w:rsidRPr="00A72AAF" w:rsidRDefault="00DE435B" w:rsidP="00EA74B8">
            <w:pPr>
              <w:spacing w:after="0" w:line="240" w:lineRule="auto"/>
              <w:rPr>
                <w:rFonts w:ascii="Times New Roman" w:eastAsiaTheme="minorHAnsi" w:hAnsi="Times New Roman"/>
                <w:i/>
                <w:sz w:val="18"/>
                <w:szCs w:val="18"/>
              </w:rPr>
            </w:pPr>
          </w:p>
          <w:p w14:paraId="2BE85B5B" w14:textId="77777777" w:rsidR="00DE435B" w:rsidRPr="00A72AAF" w:rsidRDefault="00DE435B" w:rsidP="00EA74B8">
            <w:pPr>
              <w:spacing w:after="0" w:line="240" w:lineRule="auto"/>
              <w:rPr>
                <w:rFonts w:ascii="Times New Roman" w:eastAsiaTheme="minorHAnsi" w:hAnsi="Times New Roman"/>
                <w:sz w:val="18"/>
                <w:szCs w:val="18"/>
              </w:rPr>
            </w:pPr>
            <w:r w:rsidRPr="00A72AAF">
              <w:rPr>
                <w:rFonts w:ascii="Times New Roman" w:eastAsiaTheme="minorHAnsi" w:hAnsi="Times New Roman"/>
                <w:i/>
                <w:sz w:val="18"/>
                <w:szCs w:val="18"/>
              </w:rPr>
              <w:t>Datu avots</w:t>
            </w:r>
            <w:r w:rsidRPr="00A72AAF">
              <w:rPr>
                <w:rFonts w:ascii="Times New Roman" w:eastAsiaTheme="minorHAnsi" w:hAnsi="Times New Roman"/>
                <w:sz w:val="18"/>
                <w:szCs w:val="18"/>
              </w:rPr>
              <w:t>:</w:t>
            </w:r>
          </w:p>
          <w:p w14:paraId="0C057E0A" w14:textId="77777777" w:rsidR="00DE435B" w:rsidRPr="00A72AAF" w:rsidRDefault="00DE435B" w:rsidP="00EA74B8">
            <w:pPr>
              <w:spacing w:after="0" w:line="240" w:lineRule="auto"/>
              <w:jc w:val="both"/>
              <w:rPr>
                <w:rFonts w:ascii="Times New Roman" w:eastAsiaTheme="minorHAnsi" w:hAnsi="Times New Roman"/>
                <w:sz w:val="18"/>
                <w:szCs w:val="18"/>
              </w:rPr>
            </w:pPr>
            <w:r w:rsidRPr="00A72AAF">
              <w:rPr>
                <w:rFonts w:ascii="Times New Roman" w:eastAsiaTheme="minorHAnsi" w:hAnsi="Times New Roman"/>
                <w:sz w:val="18"/>
                <w:szCs w:val="18"/>
              </w:rPr>
              <w:t>Projektu dati</w:t>
            </w:r>
          </w:p>
          <w:p w14:paraId="49C10027" w14:textId="77777777" w:rsidR="00DE435B" w:rsidRPr="00A72AAF" w:rsidRDefault="00DE435B" w:rsidP="00EA74B8">
            <w:pPr>
              <w:spacing w:after="0" w:line="240" w:lineRule="auto"/>
              <w:jc w:val="both"/>
              <w:rPr>
                <w:rFonts w:ascii="Times New Roman" w:eastAsiaTheme="minorHAnsi" w:hAnsi="Times New Roman"/>
                <w:i/>
                <w:sz w:val="18"/>
                <w:szCs w:val="18"/>
              </w:rPr>
            </w:pPr>
          </w:p>
          <w:p w14:paraId="0C2FACB1" w14:textId="77777777" w:rsidR="00DE435B" w:rsidRPr="00A72AAF" w:rsidRDefault="00DE435B" w:rsidP="00EA74B8">
            <w:pPr>
              <w:spacing w:after="0" w:line="240" w:lineRule="auto"/>
              <w:jc w:val="both"/>
              <w:rPr>
                <w:rFonts w:ascii="Times New Roman" w:eastAsiaTheme="minorHAnsi" w:hAnsi="Times New Roman"/>
                <w:i/>
                <w:sz w:val="18"/>
                <w:szCs w:val="18"/>
              </w:rPr>
            </w:pPr>
            <w:r w:rsidRPr="00A72AAF">
              <w:rPr>
                <w:rFonts w:ascii="Times New Roman" w:eastAsiaTheme="minorHAnsi" w:hAnsi="Times New Roman"/>
                <w:i/>
                <w:sz w:val="18"/>
                <w:szCs w:val="18"/>
              </w:rPr>
              <w:t>Apkopošanas biežums un ieguves metodoloģija:</w:t>
            </w:r>
          </w:p>
          <w:p w14:paraId="1C00B195" w14:textId="77777777" w:rsidR="00DE435B" w:rsidRPr="00A72AAF" w:rsidRDefault="00DE435B" w:rsidP="00EA74B8">
            <w:pPr>
              <w:spacing w:after="0" w:line="240" w:lineRule="auto"/>
              <w:jc w:val="both"/>
              <w:rPr>
                <w:rFonts w:ascii="Times New Roman" w:eastAsiaTheme="minorHAnsi" w:hAnsi="Times New Roman"/>
                <w:sz w:val="18"/>
                <w:szCs w:val="18"/>
              </w:rPr>
            </w:pPr>
            <w:r w:rsidRPr="00A72AAF">
              <w:rPr>
                <w:rFonts w:ascii="Times New Roman" w:eastAsiaTheme="minorHAnsi" w:hAnsi="Times New Roman"/>
                <w:sz w:val="18"/>
                <w:szCs w:val="18"/>
              </w:rPr>
              <w:t>Reizi gadā.</w:t>
            </w:r>
          </w:p>
          <w:p w14:paraId="61A96C35" w14:textId="77777777" w:rsidR="00DE435B" w:rsidRPr="00A72AAF" w:rsidRDefault="00DE435B" w:rsidP="00EA74B8">
            <w:pPr>
              <w:spacing w:after="0" w:line="240" w:lineRule="auto"/>
              <w:rPr>
                <w:rFonts w:ascii="Times New Roman" w:eastAsiaTheme="minorHAnsi" w:hAnsi="Times New Roman"/>
                <w:sz w:val="18"/>
                <w:szCs w:val="18"/>
              </w:rPr>
            </w:pPr>
          </w:p>
          <w:p w14:paraId="3BA9073E" w14:textId="77777777" w:rsidR="00DE435B" w:rsidRPr="00A72AAF" w:rsidRDefault="00DE435B" w:rsidP="00EA74B8">
            <w:pPr>
              <w:spacing w:after="0" w:line="240" w:lineRule="auto"/>
              <w:rPr>
                <w:rFonts w:ascii="Times New Roman" w:eastAsiaTheme="minorHAnsi" w:hAnsi="Times New Roman"/>
                <w:i/>
                <w:sz w:val="18"/>
                <w:szCs w:val="18"/>
              </w:rPr>
            </w:pPr>
            <w:r w:rsidRPr="00A72AAF">
              <w:rPr>
                <w:rFonts w:ascii="Times New Roman" w:eastAsiaTheme="minorHAnsi" w:hAnsi="Times New Roman"/>
                <w:i/>
                <w:sz w:val="18"/>
                <w:szCs w:val="18"/>
              </w:rPr>
              <w:t>Starpposma vērtība 2018:</w:t>
            </w:r>
          </w:p>
          <w:p w14:paraId="5E87B521" w14:textId="77777777" w:rsidR="00DE435B" w:rsidRPr="00A72AAF" w:rsidRDefault="00212287" w:rsidP="00EA74B8">
            <w:pPr>
              <w:spacing w:after="0" w:line="240" w:lineRule="auto"/>
              <w:rPr>
                <w:rFonts w:ascii="Times New Roman" w:eastAsiaTheme="minorHAnsi" w:hAnsi="Times New Roman"/>
                <w:i/>
                <w:sz w:val="18"/>
                <w:szCs w:val="18"/>
              </w:rPr>
            </w:pPr>
            <w:r>
              <w:rPr>
                <w:rFonts w:ascii="Times New Roman" w:eastAsiaTheme="minorHAnsi" w:hAnsi="Times New Roman"/>
                <w:i/>
                <w:sz w:val="18"/>
                <w:szCs w:val="18"/>
              </w:rPr>
              <w:t>37</w:t>
            </w:r>
            <w:r w:rsidR="00BA755F">
              <w:rPr>
                <w:rFonts w:ascii="Times New Roman" w:eastAsiaTheme="minorHAnsi" w:hAnsi="Times New Roman"/>
                <w:i/>
                <w:sz w:val="18"/>
                <w:szCs w:val="18"/>
              </w:rPr>
              <w:t>,</w:t>
            </w:r>
            <w:r w:rsidR="00BA755F">
              <w:rPr>
                <w:rFonts w:ascii="Times New Roman" w:eastAsiaTheme="minorHAnsi" w:hAnsi="Times New Roman"/>
                <w:sz w:val="18"/>
                <w:szCs w:val="18"/>
              </w:rPr>
              <w:t xml:space="preserve"> </w:t>
            </w:r>
            <w:r w:rsidR="00BA755F" w:rsidRPr="006752AC">
              <w:rPr>
                <w:rFonts w:ascii="Times New Roman" w:eastAsiaTheme="minorHAnsi" w:hAnsi="Times New Roman"/>
                <w:sz w:val="18"/>
                <w:szCs w:val="18"/>
              </w:rPr>
              <w:t xml:space="preserve">t.sk. integrēto teritoriālo investīciju ietvaros –  </w:t>
            </w:r>
            <w:r w:rsidR="00BA755F">
              <w:rPr>
                <w:rFonts w:ascii="Times New Roman" w:eastAsiaTheme="minorHAnsi" w:hAnsi="Times New Roman"/>
                <w:sz w:val="18"/>
                <w:szCs w:val="18"/>
              </w:rPr>
              <w:t>7</w:t>
            </w:r>
          </w:p>
          <w:p w14:paraId="173CAA80" w14:textId="77777777" w:rsidR="00DE435B" w:rsidRDefault="00DE435B" w:rsidP="00EA74B8">
            <w:pPr>
              <w:spacing w:after="0" w:line="240" w:lineRule="auto"/>
              <w:rPr>
                <w:rFonts w:ascii="Times New Roman" w:eastAsiaTheme="minorHAnsi" w:hAnsi="Times New Roman"/>
                <w:i/>
                <w:sz w:val="18"/>
                <w:szCs w:val="18"/>
              </w:rPr>
            </w:pPr>
          </w:p>
          <w:p w14:paraId="0D65BF7A" w14:textId="77777777" w:rsidR="00022CFA" w:rsidRPr="00A90C04" w:rsidRDefault="00022CFA" w:rsidP="00A90C04">
            <w:pPr>
              <w:spacing w:after="0" w:line="240" w:lineRule="auto"/>
              <w:jc w:val="both"/>
              <w:rPr>
                <w:rFonts w:ascii="Times New Roman" w:eastAsiaTheme="minorHAnsi" w:hAnsi="Times New Roman"/>
                <w:sz w:val="18"/>
                <w:szCs w:val="18"/>
              </w:rPr>
            </w:pPr>
            <w:r w:rsidRPr="00361C50">
              <w:rPr>
                <w:rFonts w:ascii="Times New Roman" w:eastAsiaTheme="minorHAnsi" w:hAnsi="Times New Roman"/>
                <w:i/>
                <w:sz w:val="18"/>
                <w:szCs w:val="18"/>
              </w:rPr>
              <w:t>Darbība, kas liek uzskatīt mērķa vērtību par izpildītu</w:t>
            </w:r>
            <w:r w:rsidRPr="00A90C04">
              <w:rPr>
                <w:rFonts w:ascii="Times New Roman" w:eastAsiaTheme="minorHAnsi" w:hAnsi="Times New Roman"/>
                <w:sz w:val="18"/>
                <w:szCs w:val="18"/>
              </w:rPr>
              <w:t>:</w:t>
            </w:r>
          </w:p>
          <w:p w14:paraId="3529AC0A" w14:textId="77777777" w:rsidR="00022CFA" w:rsidRPr="00A90C04" w:rsidRDefault="00022CFA" w:rsidP="00A90C04">
            <w:pPr>
              <w:spacing w:after="0" w:line="240" w:lineRule="auto"/>
              <w:jc w:val="both"/>
              <w:rPr>
                <w:rFonts w:ascii="Times New Roman" w:eastAsiaTheme="minorHAnsi" w:hAnsi="Times New Roman"/>
                <w:sz w:val="18"/>
                <w:szCs w:val="18"/>
              </w:rPr>
            </w:pPr>
            <w:r w:rsidRPr="00A90C04">
              <w:rPr>
                <w:rFonts w:ascii="Times New Roman" w:eastAsiaTheme="minorHAnsi" w:hAnsi="Times New Roman"/>
                <w:sz w:val="18"/>
                <w:szCs w:val="18"/>
              </w:rPr>
              <w:t>Apstiprināts maksājuma pieprasījums, ar kuru tiek apstiprināti arī sasniegtie rādītāji.</w:t>
            </w:r>
          </w:p>
          <w:p w14:paraId="1AB9B9E7" w14:textId="77777777" w:rsidR="00022CFA" w:rsidRPr="00A72AAF" w:rsidRDefault="00022CFA" w:rsidP="00EA74B8">
            <w:pPr>
              <w:spacing w:after="0" w:line="240" w:lineRule="auto"/>
              <w:rPr>
                <w:rFonts w:ascii="Times New Roman" w:eastAsiaTheme="minorHAnsi" w:hAnsi="Times New Roman"/>
                <w:i/>
                <w:sz w:val="18"/>
                <w:szCs w:val="18"/>
              </w:rPr>
            </w:pPr>
          </w:p>
          <w:p w14:paraId="621D8438" w14:textId="77777777" w:rsidR="00DE435B" w:rsidRPr="00A72AAF" w:rsidRDefault="00DE435B" w:rsidP="00EA74B8">
            <w:pPr>
              <w:spacing w:after="0" w:line="240" w:lineRule="auto"/>
              <w:rPr>
                <w:rFonts w:ascii="Times New Roman" w:eastAsiaTheme="minorHAnsi" w:hAnsi="Times New Roman"/>
                <w:sz w:val="18"/>
                <w:szCs w:val="18"/>
              </w:rPr>
            </w:pPr>
            <w:r w:rsidRPr="00A72AAF">
              <w:rPr>
                <w:rFonts w:ascii="Times New Roman" w:eastAsiaTheme="minorHAnsi" w:hAnsi="Times New Roman"/>
                <w:i/>
                <w:sz w:val="18"/>
                <w:szCs w:val="18"/>
              </w:rPr>
              <w:t>Mērķis 2023</w:t>
            </w:r>
            <w:r w:rsidRPr="00A72AAF">
              <w:rPr>
                <w:rFonts w:ascii="Times New Roman" w:eastAsiaTheme="minorHAnsi" w:hAnsi="Times New Roman"/>
                <w:sz w:val="18"/>
                <w:szCs w:val="18"/>
              </w:rPr>
              <w:t>:</w:t>
            </w:r>
          </w:p>
          <w:p w14:paraId="2166461E" w14:textId="77777777" w:rsidR="00DE435B" w:rsidRPr="00A72AAF" w:rsidRDefault="00212287" w:rsidP="00EA74B8">
            <w:pPr>
              <w:spacing w:after="0" w:line="240" w:lineRule="auto"/>
              <w:rPr>
                <w:rFonts w:ascii="Times New Roman" w:eastAsiaTheme="minorHAnsi" w:hAnsi="Times New Roman"/>
                <w:i/>
                <w:sz w:val="18"/>
                <w:szCs w:val="18"/>
              </w:rPr>
            </w:pPr>
            <w:r>
              <w:rPr>
                <w:rFonts w:ascii="Times New Roman" w:eastAsiaTheme="minorHAnsi" w:hAnsi="Times New Roman"/>
                <w:i/>
                <w:sz w:val="18"/>
                <w:szCs w:val="18"/>
              </w:rPr>
              <w:t>185</w:t>
            </w:r>
            <w:r w:rsidR="006752AC">
              <w:rPr>
                <w:rFonts w:ascii="Times New Roman" w:eastAsiaTheme="minorHAnsi" w:hAnsi="Times New Roman"/>
                <w:i/>
                <w:sz w:val="18"/>
                <w:szCs w:val="18"/>
              </w:rPr>
              <w:t>,</w:t>
            </w:r>
            <w:r w:rsidR="006752AC">
              <w:rPr>
                <w:rFonts w:ascii="Times New Roman" w:eastAsiaTheme="minorHAnsi" w:hAnsi="Times New Roman"/>
                <w:sz w:val="18"/>
                <w:szCs w:val="18"/>
              </w:rPr>
              <w:t xml:space="preserve"> </w:t>
            </w:r>
            <w:r w:rsidR="006752AC" w:rsidRPr="006752AC">
              <w:rPr>
                <w:rFonts w:ascii="Times New Roman" w:eastAsiaTheme="minorHAnsi" w:hAnsi="Times New Roman"/>
                <w:sz w:val="18"/>
                <w:szCs w:val="18"/>
              </w:rPr>
              <w:t xml:space="preserve">t.sk. integrēto teritoriālo investīciju ietvaros –  </w:t>
            </w:r>
            <w:r w:rsidR="006752AC">
              <w:rPr>
                <w:rFonts w:ascii="Times New Roman" w:eastAsiaTheme="minorHAnsi" w:hAnsi="Times New Roman"/>
                <w:sz w:val="18"/>
                <w:szCs w:val="18"/>
              </w:rPr>
              <w:t>34</w:t>
            </w:r>
          </w:p>
          <w:p w14:paraId="6B9CA458" w14:textId="77777777" w:rsidR="00DE435B" w:rsidRPr="00A72AAF" w:rsidRDefault="00DE435B" w:rsidP="00EA74B8">
            <w:pPr>
              <w:spacing w:after="0" w:line="240" w:lineRule="auto"/>
              <w:rPr>
                <w:rFonts w:ascii="Times New Roman" w:eastAsiaTheme="minorHAnsi" w:hAnsi="Times New Roman"/>
                <w:i/>
                <w:sz w:val="18"/>
                <w:szCs w:val="18"/>
              </w:rPr>
            </w:pPr>
          </w:p>
          <w:p w14:paraId="7359ADB1" w14:textId="77777777" w:rsidR="00DE435B" w:rsidRPr="00A72AAF" w:rsidRDefault="00DE435B" w:rsidP="00EA74B8">
            <w:pPr>
              <w:spacing w:after="0" w:line="240" w:lineRule="auto"/>
              <w:rPr>
                <w:rFonts w:ascii="Times New Roman" w:eastAsiaTheme="minorHAnsi" w:hAnsi="Times New Roman"/>
                <w:sz w:val="18"/>
                <w:szCs w:val="18"/>
              </w:rPr>
            </w:pPr>
            <w:r w:rsidRPr="00A72AAF">
              <w:rPr>
                <w:rFonts w:ascii="Times New Roman" w:eastAsiaTheme="minorHAnsi" w:hAnsi="Times New Roman"/>
                <w:i/>
                <w:sz w:val="18"/>
                <w:szCs w:val="18"/>
              </w:rPr>
              <w:t>Mērķa vērtības noteikšanas principi/metodoloģija</w:t>
            </w:r>
            <w:r w:rsidRPr="00A72AAF">
              <w:rPr>
                <w:rFonts w:ascii="Times New Roman" w:eastAsiaTheme="minorHAnsi" w:hAnsi="Times New Roman"/>
                <w:sz w:val="18"/>
                <w:szCs w:val="18"/>
              </w:rPr>
              <w:t>:</w:t>
            </w:r>
          </w:p>
          <w:p w14:paraId="52694487" w14:textId="77777777" w:rsidR="00212287" w:rsidRDefault="00212287" w:rsidP="00EA74B8">
            <w:pPr>
              <w:spacing w:after="0" w:line="240" w:lineRule="auto"/>
              <w:rPr>
                <w:rFonts w:ascii="Times New Roman" w:hAnsi="Times New Roman"/>
                <w:sz w:val="18"/>
                <w:szCs w:val="18"/>
              </w:rPr>
            </w:pPr>
            <w:r w:rsidRPr="00212287">
              <w:rPr>
                <w:rFonts w:ascii="Times New Roman" w:hAnsi="Times New Roman"/>
                <w:sz w:val="18"/>
                <w:szCs w:val="18"/>
              </w:rPr>
              <w:t>Saskaņā ar VARAM veikto pašvaldību aptauju nacionālas nozīmes centru (8) teritorijās, kurās tiks veiktas investīcijas, vidēji atradīsies 10 uzņēmumu, savukārt reģionālas nozīmes centru (21) teritorijās – vidēji 5 uzņēmumi (kopā - 8*10+21*5=185 uzņēmumi).</w:t>
            </w:r>
          </w:p>
          <w:p w14:paraId="2B76D82B" w14:textId="77777777" w:rsidR="00212287" w:rsidRDefault="00212287" w:rsidP="00EA74B8">
            <w:pPr>
              <w:spacing w:after="0" w:line="240" w:lineRule="auto"/>
              <w:rPr>
                <w:rFonts w:ascii="Times New Roman" w:hAnsi="Times New Roman"/>
                <w:sz w:val="18"/>
                <w:szCs w:val="18"/>
              </w:rPr>
            </w:pPr>
          </w:p>
          <w:p w14:paraId="094FBD65" w14:textId="77777777" w:rsidR="00DE435B" w:rsidRPr="00A72AAF" w:rsidRDefault="00DE435B" w:rsidP="00EA74B8">
            <w:pPr>
              <w:spacing w:after="0" w:line="240" w:lineRule="auto"/>
              <w:rPr>
                <w:rFonts w:ascii="Times New Roman" w:eastAsiaTheme="minorHAnsi" w:hAnsi="Times New Roman"/>
                <w:i/>
                <w:sz w:val="18"/>
                <w:szCs w:val="18"/>
              </w:rPr>
            </w:pPr>
            <w:r w:rsidRPr="00A72AAF">
              <w:rPr>
                <w:rFonts w:ascii="Times New Roman" w:eastAsiaTheme="minorHAnsi" w:hAnsi="Times New Roman"/>
                <w:i/>
                <w:sz w:val="18"/>
                <w:szCs w:val="18"/>
              </w:rPr>
              <w:lastRenderedPageBreak/>
              <w:t>Iznākuma rādītājam sasniegšanai paredzētais finansējums:</w:t>
            </w:r>
          </w:p>
          <w:p w14:paraId="53218203" w14:textId="41064253" w:rsidR="00DE435B" w:rsidRPr="00212287" w:rsidRDefault="00724167" w:rsidP="00EA74B8">
            <w:pPr>
              <w:spacing w:after="0" w:line="240" w:lineRule="auto"/>
              <w:rPr>
                <w:rFonts w:ascii="Times New Roman" w:eastAsiaTheme="minorHAnsi" w:hAnsi="Times New Roman"/>
                <w:b/>
                <w:bCs/>
                <w:sz w:val="18"/>
                <w:szCs w:val="18"/>
              </w:rPr>
            </w:pPr>
            <w:r w:rsidRPr="00724167">
              <w:rPr>
                <w:rFonts w:ascii="Times New Roman" w:eastAsiaTheme="minorHAnsi" w:hAnsi="Times New Roman"/>
                <w:sz w:val="18"/>
                <w:szCs w:val="18"/>
              </w:rPr>
              <w:t>70 349</w:t>
            </w:r>
            <w:r>
              <w:rPr>
                <w:rFonts w:ascii="Times New Roman" w:eastAsiaTheme="minorHAnsi" w:hAnsi="Times New Roman"/>
                <w:sz w:val="18"/>
                <w:szCs w:val="18"/>
              </w:rPr>
              <w:t> </w:t>
            </w:r>
            <w:r w:rsidRPr="00724167">
              <w:rPr>
                <w:rFonts w:ascii="Times New Roman" w:eastAsiaTheme="minorHAnsi" w:hAnsi="Times New Roman"/>
                <w:sz w:val="18"/>
                <w:szCs w:val="18"/>
              </w:rPr>
              <w:t>561</w:t>
            </w:r>
            <w:r>
              <w:rPr>
                <w:rFonts w:eastAsia="Times New Roman" w:cs="Calibri"/>
                <w:color w:val="000000"/>
              </w:rPr>
              <w:t xml:space="preserve"> </w:t>
            </w:r>
            <w:r w:rsidR="00DE435B" w:rsidRPr="00BD351F">
              <w:rPr>
                <w:rFonts w:ascii="Times New Roman" w:eastAsiaTheme="minorHAnsi" w:hAnsi="Times New Roman"/>
                <w:sz w:val="18"/>
                <w:szCs w:val="18"/>
              </w:rPr>
              <w:t>EUR</w:t>
            </w:r>
            <w:r w:rsidR="00DE435B" w:rsidRPr="00A72AAF">
              <w:rPr>
                <w:rFonts w:ascii="Times New Roman" w:eastAsiaTheme="minorHAnsi" w:hAnsi="Times New Roman"/>
                <w:sz w:val="18"/>
                <w:szCs w:val="18"/>
              </w:rPr>
              <w:t>.</w:t>
            </w:r>
          </w:p>
          <w:p w14:paraId="4785A161" w14:textId="77777777" w:rsidR="00DE435B" w:rsidRDefault="00DE435B" w:rsidP="00EA74B8">
            <w:pPr>
              <w:spacing w:after="0" w:line="240" w:lineRule="auto"/>
              <w:rPr>
                <w:rFonts w:ascii="Times New Roman" w:eastAsiaTheme="minorHAnsi" w:hAnsi="Times New Roman"/>
                <w:sz w:val="18"/>
                <w:szCs w:val="18"/>
              </w:rPr>
            </w:pPr>
          </w:p>
          <w:p w14:paraId="6C8CDC7A" w14:textId="77777777" w:rsidR="00DE435B" w:rsidRPr="00DF131C" w:rsidRDefault="00DE435B" w:rsidP="00EA74B8">
            <w:pPr>
              <w:spacing w:after="0" w:line="240" w:lineRule="auto"/>
              <w:rPr>
                <w:rFonts w:ascii="Times New Roman" w:eastAsiaTheme="minorHAnsi" w:hAnsi="Times New Roman"/>
                <w:sz w:val="18"/>
                <w:szCs w:val="18"/>
              </w:rPr>
            </w:pPr>
            <w:r w:rsidRPr="00DF131C">
              <w:rPr>
                <w:rFonts w:ascii="Times New Roman" w:eastAsiaTheme="minorHAnsi" w:hAnsi="Times New Roman"/>
                <w:i/>
                <w:sz w:val="18"/>
                <w:szCs w:val="18"/>
              </w:rPr>
              <w:t>IR7 nosaukums un mērvienība:</w:t>
            </w:r>
            <w:r w:rsidRPr="00DF131C">
              <w:rPr>
                <w:rFonts w:ascii="Times New Roman" w:eastAsiaTheme="minorHAnsi" w:hAnsi="Times New Roman"/>
                <w:sz w:val="18"/>
                <w:szCs w:val="18"/>
              </w:rPr>
              <w:t xml:space="preserve"> i3.1.1. </w:t>
            </w:r>
            <w:proofErr w:type="spellStart"/>
            <w:r w:rsidRPr="00DF131C">
              <w:rPr>
                <w:rFonts w:ascii="Times New Roman" w:eastAsiaTheme="minorHAnsi" w:hAnsi="Times New Roman"/>
                <w:sz w:val="18"/>
                <w:szCs w:val="18"/>
              </w:rPr>
              <w:t>gk</w:t>
            </w:r>
            <w:proofErr w:type="spellEnd"/>
            <w:r w:rsidRPr="00DF131C">
              <w:rPr>
                <w:rFonts w:ascii="Times New Roman" w:eastAsiaTheme="minorHAnsi" w:hAnsi="Times New Roman"/>
                <w:sz w:val="18"/>
                <w:szCs w:val="18"/>
              </w:rPr>
              <w:t xml:space="preserve"> (ID CO08) </w:t>
            </w:r>
            <w:r w:rsidR="00BF3E2A" w:rsidRPr="00BF3E2A">
              <w:rPr>
                <w:rFonts w:ascii="Times New Roman" w:eastAsiaTheme="minorHAnsi" w:hAnsi="Times New Roman" w:cstheme="minorBidi"/>
                <w:b/>
                <w:sz w:val="18"/>
                <w:szCs w:val="18"/>
              </w:rPr>
              <w:t>Nodarbinātības pieaugums atbalstītajos uzņēmumos, skaits</w:t>
            </w:r>
            <w:r w:rsidR="009B6504">
              <w:rPr>
                <w:rStyle w:val="FootnoteReference"/>
                <w:rFonts w:ascii="Times New Roman" w:eastAsiaTheme="minorHAnsi" w:hAnsi="Times New Roman" w:cstheme="minorBidi"/>
                <w:b/>
                <w:sz w:val="18"/>
                <w:szCs w:val="18"/>
              </w:rPr>
              <w:footnoteReference w:id="5"/>
            </w:r>
          </w:p>
          <w:p w14:paraId="72F33724" w14:textId="77777777" w:rsidR="00DE435B" w:rsidRPr="00DF131C" w:rsidRDefault="00DE435B" w:rsidP="00EA74B8">
            <w:pPr>
              <w:spacing w:after="0" w:line="240" w:lineRule="auto"/>
              <w:rPr>
                <w:rFonts w:ascii="Times New Roman" w:eastAsiaTheme="minorHAnsi" w:hAnsi="Times New Roman"/>
                <w:sz w:val="18"/>
                <w:szCs w:val="18"/>
              </w:rPr>
            </w:pPr>
          </w:p>
          <w:p w14:paraId="779765F9" w14:textId="77777777" w:rsidR="00DE435B" w:rsidRDefault="00DE435B" w:rsidP="00EA74B8">
            <w:pPr>
              <w:spacing w:after="0" w:line="240" w:lineRule="auto"/>
              <w:rPr>
                <w:rFonts w:ascii="Times New Roman" w:eastAsiaTheme="minorHAnsi" w:hAnsi="Times New Roman"/>
                <w:sz w:val="18"/>
                <w:szCs w:val="18"/>
              </w:rPr>
            </w:pPr>
            <w:r w:rsidRPr="00DF131C">
              <w:rPr>
                <w:rFonts w:ascii="Times New Roman" w:eastAsiaTheme="minorHAnsi" w:hAnsi="Times New Roman"/>
                <w:i/>
                <w:sz w:val="18"/>
                <w:szCs w:val="18"/>
              </w:rPr>
              <w:t>Definīcija</w:t>
            </w:r>
            <w:r w:rsidRPr="00DF131C">
              <w:rPr>
                <w:rFonts w:ascii="Times New Roman" w:eastAsiaTheme="minorHAnsi" w:hAnsi="Times New Roman"/>
                <w:sz w:val="18"/>
                <w:szCs w:val="18"/>
              </w:rPr>
              <w:t xml:space="preserve">: </w:t>
            </w:r>
          </w:p>
          <w:p w14:paraId="062FF214" w14:textId="77777777" w:rsidR="00DE435B" w:rsidRPr="00DF131C" w:rsidRDefault="00DE435B" w:rsidP="00EA74B8">
            <w:pPr>
              <w:spacing w:after="0" w:line="240" w:lineRule="auto"/>
              <w:rPr>
                <w:rFonts w:ascii="Times New Roman" w:eastAsiaTheme="minorHAnsi" w:hAnsi="Times New Roman"/>
                <w:sz w:val="18"/>
                <w:szCs w:val="18"/>
              </w:rPr>
            </w:pPr>
            <w:r w:rsidRPr="00DF131C">
              <w:rPr>
                <w:rFonts w:ascii="Times New Roman" w:eastAsiaTheme="minorHAnsi" w:hAnsi="Times New Roman"/>
                <w:sz w:val="18"/>
                <w:szCs w:val="18"/>
              </w:rPr>
              <w:t>Kopējais rādītājs</w:t>
            </w:r>
          </w:p>
          <w:p w14:paraId="78669D0A" w14:textId="77777777" w:rsidR="00DE435B" w:rsidRPr="00DF131C" w:rsidRDefault="00DE435B" w:rsidP="00EA74B8">
            <w:pPr>
              <w:spacing w:after="0" w:line="240" w:lineRule="auto"/>
              <w:rPr>
                <w:rFonts w:ascii="Times New Roman" w:eastAsiaTheme="minorHAnsi" w:hAnsi="Times New Roman"/>
                <w:sz w:val="18"/>
                <w:szCs w:val="18"/>
              </w:rPr>
            </w:pPr>
          </w:p>
          <w:p w14:paraId="13A3762E" w14:textId="77777777" w:rsidR="00DE435B" w:rsidRDefault="00DE435B" w:rsidP="00EA74B8">
            <w:pPr>
              <w:spacing w:after="0" w:line="240" w:lineRule="auto"/>
              <w:rPr>
                <w:rFonts w:ascii="Times New Roman" w:eastAsiaTheme="minorHAnsi" w:hAnsi="Times New Roman"/>
                <w:sz w:val="18"/>
                <w:szCs w:val="18"/>
              </w:rPr>
            </w:pPr>
            <w:r w:rsidRPr="00DF131C">
              <w:rPr>
                <w:rFonts w:ascii="Times New Roman" w:eastAsiaTheme="minorHAnsi" w:hAnsi="Times New Roman"/>
                <w:i/>
                <w:sz w:val="18"/>
                <w:szCs w:val="18"/>
              </w:rPr>
              <w:t>Datu avots</w:t>
            </w:r>
            <w:r w:rsidRPr="00DF131C">
              <w:rPr>
                <w:rFonts w:ascii="Times New Roman" w:eastAsiaTheme="minorHAnsi" w:hAnsi="Times New Roman"/>
                <w:sz w:val="18"/>
                <w:szCs w:val="18"/>
              </w:rPr>
              <w:t xml:space="preserve">: </w:t>
            </w:r>
          </w:p>
          <w:p w14:paraId="00F98BC5" w14:textId="77777777" w:rsidR="00DE435B" w:rsidRPr="00DF131C" w:rsidRDefault="00DE435B" w:rsidP="00EA74B8">
            <w:pPr>
              <w:spacing w:after="0" w:line="240" w:lineRule="auto"/>
              <w:rPr>
                <w:rFonts w:ascii="Times New Roman" w:eastAsiaTheme="minorHAnsi" w:hAnsi="Times New Roman"/>
                <w:sz w:val="18"/>
                <w:szCs w:val="18"/>
              </w:rPr>
            </w:pPr>
            <w:r w:rsidRPr="00DF131C">
              <w:rPr>
                <w:rFonts w:ascii="Times New Roman" w:eastAsiaTheme="minorHAnsi" w:hAnsi="Times New Roman"/>
                <w:sz w:val="18"/>
                <w:szCs w:val="18"/>
              </w:rPr>
              <w:t>Projektu dati</w:t>
            </w:r>
          </w:p>
          <w:p w14:paraId="0073BBDE" w14:textId="77777777" w:rsidR="00DE435B" w:rsidRPr="00DF131C" w:rsidRDefault="00DE435B" w:rsidP="00EA74B8">
            <w:pPr>
              <w:spacing w:after="0" w:line="240" w:lineRule="auto"/>
              <w:rPr>
                <w:rFonts w:ascii="Times New Roman" w:eastAsiaTheme="minorHAnsi" w:hAnsi="Times New Roman"/>
                <w:sz w:val="18"/>
                <w:szCs w:val="18"/>
              </w:rPr>
            </w:pPr>
          </w:p>
          <w:p w14:paraId="72FAE912" w14:textId="77777777" w:rsidR="00DE435B" w:rsidRDefault="00DE435B" w:rsidP="00EA74B8">
            <w:pPr>
              <w:spacing w:after="0" w:line="240" w:lineRule="auto"/>
              <w:rPr>
                <w:rFonts w:ascii="Times New Roman" w:eastAsiaTheme="minorHAnsi" w:hAnsi="Times New Roman"/>
                <w:sz w:val="18"/>
                <w:szCs w:val="18"/>
              </w:rPr>
            </w:pPr>
            <w:r w:rsidRPr="00DF131C">
              <w:rPr>
                <w:rFonts w:ascii="Times New Roman" w:eastAsiaTheme="minorHAnsi" w:hAnsi="Times New Roman"/>
                <w:i/>
                <w:sz w:val="18"/>
                <w:szCs w:val="18"/>
              </w:rPr>
              <w:t>Apkopošanas biežums un ieguves metodoloģija</w:t>
            </w:r>
            <w:r w:rsidRPr="00DF131C">
              <w:rPr>
                <w:rFonts w:ascii="Times New Roman" w:eastAsiaTheme="minorHAnsi" w:hAnsi="Times New Roman"/>
                <w:sz w:val="18"/>
                <w:szCs w:val="18"/>
              </w:rPr>
              <w:t xml:space="preserve">: </w:t>
            </w:r>
          </w:p>
          <w:p w14:paraId="1ECC5070" w14:textId="77777777" w:rsidR="00DE435B" w:rsidRPr="00DF131C" w:rsidRDefault="00DE435B" w:rsidP="00EA74B8">
            <w:pPr>
              <w:spacing w:after="0" w:line="240" w:lineRule="auto"/>
              <w:rPr>
                <w:rFonts w:ascii="Times New Roman" w:eastAsiaTheme="minorHAnsi" w:hAnsi="Times New Roman"/>
                <w:sz w:val="18"/>
                <w:szCs w:val="18"/>
              </w:rPr>
            </w:pPr>
            <w:r w:rsidRPr="00DF131C">
              <w:rPr>
                <w:rFonts w:ascii="Times New Roman" w:eastAsiaTheme="minorHAnsi" w:hAnsi="Times New Roman"/>
                <w:sz w:val="18"/>
                <w:szCs w:val="18"/>
              </w:rPr>
              <w:t>katru gadu, apkopojot informāciju par atbalstītajiem projektiem no projektu atskaitēm/ VIS sistēmas</w:t>
            </w:r>
          </w:p>
          <w:p w14:paraId="1F368B6B" w14:textId="77777777" w:rsidR="00DE435B" w:rsidRPr="00DF131C" w:rsidRDefault="00DE435B" w:rsidP="00EA74B8">
            <w:pPr>
              <w:spacing w:after="0" w:line="240" w:lineRule="auto"/>
              <w:rPr>
                <w:rFonts w:ascii="Times New Roman" w:eastAsiaTheme="minorHAnsi" w:hAnsi="Times New Roman"/>
                <w:sz w:val="18"/>
                <w:szCs w:val="18"/>
              </w:rPr>
            </w:pPr>
          </w:p>
          <w:p w14:paraId="0A8F3A3A" w14:textId="77777777" w:rsidR="00DE435B" w:rsidRDefault="00DE435B" w:rsidP="00EA74B8">
            <w:pPr>
              <w:spacing w:after="0" w:line="240" w:lineRule="auto"/>
              <w:rPr>
                <w:rFonts w:ascii="Times New Roman" w:eastAsiaTheme="minorHAnsi" w:hAnsi="Times New Roman"/>
                <w:sz w:val="18"/>
                <w:szCs w:val="18"/>
              </w:rPr>
            </w:pPr>
            <w:r w:rsidRPr="00DF131C">
              <w:rPr>
                <w:rFonts w:ascii="Times New Roman" w:eastAsiaTheme="minorHAnsi" w:hAnsi="Times New Roman"/>
                <w:i/>
                <w:sz w:val="18"/>
                <w:szCs w:val="18"/>
              </w:rPr>
              <w:t>Starpposma vērtība 2018</w:t>
            </w:r>
            <w:r w:rsidRPr="00DF131C">
              <w:rPr>
                <w:rFonts w:ascii="Times New Roman" w:eastAsiaTheme="minorHAnsi" w:hAnsi="Times New Roman"/>
                <w:sz w:val="18"/>
                <w:szCs w:val="18"/>
              </w:rPr>
              <w:t xml:space="preserve">: </w:t>
            </w:r>
          </w:p>
          <w:p w14:paraId="33B978F2" w14:textId="77777777" w:rsidR="00DE435B" w:rsidRPr="00DF131C" w:rsidRDefault="00212287" w:rsidP="00EA74B8">
            <w:pPr>
              <w:spacing w:after="0" w:line="240" w:lineRule="auto"/>
              <w:rPr>
                <w:rFonts w:ascii="Times New Roman" w:eastAsiaTheme="minorHAnsi" w:hAnsi="Times New Roman"/>
                <w:sz w:val="18"/>
                <w:szCs w:val="18"/>
              </w:rPr>
            </w:pPr>
            <w:r>
              <w:rPr>
                <w:rFonts w:ascii="Times New Roman" w:eastAsiaTheme="minorHAnsi" w:hAnsi="Times New Roman"/>
                <w:sz w:val="18"/>
                <w:szCs w:val="18"/>
              </w:rPr>
              <w:t>194</w:t>
            </w:r>
            <w:r w:rsidR="00B53595">
              <w:rPr>
                <w:rFonts w:ascii="Times New Roman" w:eastAsiaTheme="minorHAnsi" w:hAnsi="Times New Roman"/>
                <w:i/>
                <w:sz w:val="18"/>
                <w:szCs w:val="18"/>
              </w:rPr>
              <w:t>,</w:t>
            </w:r>
            <w:r w:rsidR="00B53595">
              <w:rPr>
                <w:rFonts w:ascii="Times New Roman" w:eastAsiaTheme="minorHAnsi" w:hAnsi="Times New Roman"/>
                <w:sz w:val="18"/>
                <w:szCs w:val="18"/>
              </w:rPr>
              <w:t xml:space="preserve"> </w:t>
            </w:r>
            <w:r w:rsidR="00B53595" w:rsidRPr="006752AC">
              <w:rPr>
                <w:rFonts w:ascii="Times New Roman" w:eastAsiaTheme="minorHAnsi" w:hAnsi="Times New Roman"/>
                <w:sz w:val="18"/>
                <w:szCs w:val="18"/>
              </w:rPr>
              <w:t xml:space="preserve">t.sk. integrēto teritoriālo investīciju ietvaros –  </w:t>
            </w:r>
            <w:r w:rsidR="00B53595">
              <w:rPr>
                <w:rFonts w:ascii="Times New Roman" w:eastAsiaTheme="minorHAnsi" w:hAnsi="Times New Roman"/>
                <w:sz w:val="18"/>
                <w:szCs w:val="18"/>
              </w:rPr>
              <w:t>36</w:t>
            </w:r>
          </w:p>
          <w:p w14:paraId="6D61A664" w14:textId="77777777" w:rsidR="00DE435B" w:rsidRDefault="00DE435B" w:rsidP="00EA74B8">
            <w:pPr>
              <w:spacing w:after="0" w:line="240" w:lineRule="auto"/>
              <w:rPr>
                <w:rFonts w:ascii="Times New Roman" w:eastAsiaTheme="minorHAnsi" w:hAnsi="Times New Roman"/>
                <w:sz w:val="18"/>
                <w:szCs w:val="18"/>
              </w:rPr>
            </w:pPr>
          </w:p>
          <w:p w14:paraId="5639394C" w14:textId="77777777" w:rsidR="005623CF" w:rsidRPr="007C2325" w:rsidRDefault="005623CF" w:rsidP="00A90C04">
            <w:pPr>
              <w:spacing w:after="0" w:line="240" w:lineRule="auto"/>
              <w:jc w:val="both"/>
              <w:rPr>
                <w:rFonts w:ascii="Times New Roman" w:eastAsiaTheme="minorHAnsi" w:hAnsi="Times New Roman"/>
                <w:i/>
                <w:sz w:val="18"/>
                <w:szCs w:val="18"/>
              </w:rPr>
            </w:pPr>
            <w:r w:rsidRPr="007C2325">
              <w:rPr>
                <w:rFonts w:ascii="Times New Roman" w:eastAsiaTheme="minorHAnsi" w:hAnsi="Times New Roman"/>
                <w:i/>
                <w:sz w:val="18"/>
                <w:szCs w:val="18"/>
              </w:rPr>
              <w:t>Darbība, kas liek uzskatīt mērķa vērtību par izpildītu:</w:t>
            </w:r>
          </w:p>
          <w:p w14:paraId="050E36AD" w14:textId="77777777" w:rsidR="005623CF" w:rsidRDefault="005623CF" w:rsidP="00A90C04">
            <w:pPr>
              <w:spacing w:after="0" w:line="240" w:lineRule="auto"/>
              <w:jc w:val="both"/>
              <w:rPr>
                <w:rFonts w:ascii="Times New Roman" w:eastAsiaTheme="minorHAnsi" w:hAnsi="Times New Roman"/>
                <w:sz w:val="18"/>
                <w:szCs w:val="18"/>
              </w:rPr>
            </w:pPr>
            <w:r w:rsidRPr="005623CF">
              <w:rPr>
                <w:rFonts w:ascii="Times New Roman" w:eastAsiaTheme="minorHAnsi" w:hAnsi="Times New Roman"/>
                <w:sz w:val="18"/>
                <w:szCs w:val="18"/>
              </w:rPr>
              <w:t>Apstiprināts maksājuma pieprasījums, ar kuru tiek apstiprināti arī sasniegtie rādītāji.</w:t>
            </w:r>
          </w:p>
          <w:p w14:paraId="0D544B84" w14:textId="77777777" w:rsidR="005623CF" w:rsidRPr="00DF131C" w:rsidRDefault="005623CF" w:rsidP="00EA74B8">
            <w:pPr>
              <w:spacing w:after="0" w:line="240" w:lineRule="auto"/>
              <w:rPr>
                <w:rFonts w:ascii="Times New Roman" w:eastAsiaTheme="minorHAnsi" w:hAnsi="Times New Roman"/>
                <w:sz w:val="18"/>
                <w:szCs w:val="18"/>
              </w:rPr>
            </w:pPr>
          </w:p>
          <w:p w14:paraId="75E1B10F" w14:textId="77777777" w:rsidR="00DE435B" w:rsidRDefault="00DE435B" w:rsidP="00EA74B8">
            <w:pPr>
              <w:spacing w:after="0" w:line="240" w:lineRule="auto"/>
              <w:rPr>
                <w:rFonts w:ascii="Times New Roman" w:eastAsiaTheme="minorHAnsi" w:hAnsi="Times New Roman"/>
                <w:sz w:val="18"/>
                <w:szCs w:val="18"/>
              </w:rPr>
            </w:pPr>
            <w:r w:rsidRPr="00DF131C">
              <w:rPr>
                <w:rFonts w:ascii="Times New Roman" w:eastAsiaTheme="minorHAnsi" w:hAnsi="Times New Roman"/>
                <w:sz w:val="18"/>
                <w:szCs w:val="18"/>
              </w:rPr>
              <w:t xml:space="preserve">Mērķis 2023: </w:t>
            </w:r>
          </w:p>
          <w:p w14:paraId="6E528FCC" w14:textId="77777777" w:rsidR="00DE435B" w:rsidRPr="00DF131C" w:rsidRDefault="00212287" w:rsidP="00EA74B8">
            <w:pPr>
              <w:spacing w:after="0" w:line="240" w:lineRule="auto"/>
              <w:rPr>
                <w:rFonts w:ascii="Times New Roman" w:eastAsiaTheme="minorHAnsi" w:hAnsi="Times New Roman"/>
                <w:sz w:val="18"/>
                <w:szCs w:val="18"/>
              </w:rPr>
            </w:pPr>
            <w:r>
              <w:rPr>
                <w:rFonts w:ascii="Times New Roman" w:eastAsiaTheme="minorHAnsi" w:hAnsi="Times New Roman"/>
                <w:sz w:val="18"/>
                <w:szCs w:val="18"/>
              </w:rPr>
              <w:t>968</w:t>
            </w:r>
            <w:r w:rsidR="00BA755F">
              <w:rPr>
                <w:rFonts w:ascii="Times New Roman" w:eastAsiaTheme="minorHAnsi" w:hAnsi="Times New Roman"/>
                <w:i/>
                <w:sz w:val="18"/>
                <w:szCs w:val="18"/>
              </w:rPr>
              <w:t>,</w:t>
            </w:r>
            <w:r w:rsidR="00BA755F">
              <w:rPr>
                <w:rFonts w:ascii="Times New Roman" w:eastAsiaTheme="minorHAnsi" w:hAnsi="Times New Roman"/>
                <w:sz w:val="18"/>
                <w:szCs w:val="18"/>
              </w:rPr>
              <w:t xml:space="preserve"> </w:t>
            </w:r>
            <w:r w:rsidR="00BA755F" w:rsidRPr="006752AC">
              <w:rPr>
                <w:rFonts w:ascii="Times New Roman" w:eastAsiaTheme="minorHAnsi" w:hAnsi="Times New Roman"/>
                <w:sz w:val="18"/>
                <w:szCs w:val="18"/>
              </w:rPr>
              <w:t xml:space="preserve">t.sk. integrēto teritoriālo investīciju ietvaros –  </w:t>
            </w:r>
            <w:r w:rsidR="00BA755F">
              <w:rPr>
                <w:rFonts w:ascii="Times New Roman" w:eastAsiaTheme="minorHAnsi" w:hAnsi="Times New Roman"/>
                <w:sz w:val="18"/>
                <w:szCs w:val="18"/>
              </w:rPr>
              <w:t>179</w:t>
            </w:r>
          </w:p>
          <w:p w14:paraId="70636EFB" w14:textId="77777777" w:rsidR="00DE435B" w:rsidRPr="00DF131C" w:rsidRDefault="00DE435B" w:rsidP="00EA74B8">
            <w:pPr>
              <w:spacing w:after="0" w:line="240" w:lineRule="auto"/>
              <w:rPr>
                <w:rFonts w:ascii="Times New Roman" w:eastAsiaTheme="minorHAnsi" w:hAnsi="Times New Roman"/>
                <w:sz w:val="18"/>
                <w:szCs w:val="18"/>
              </w:rPr>
            </w:pPr>
          </w:p>
          <w:p w14:paraId="31A58659" w14:textId="77777777" w:rsidR="00DE435B" w:rsidRDefault="00DE435B" w:rsidP="00EA74B8">
            <w:pPr>
              <w:spacing w:after="0" w:line="240" w:lineRule="auto"/>
              <w:rPr>
                <w:rFonts w:ascii="Times New Roman" w:eastAsiaTheme="minorHAnsi" w:hAnsi="Times New Roman"/>
                <w:sz w:val="18"/>
                <w:szCs w:val="18"/>
              </w:rPr>
            </w:pPr>
            <w:r w:rsidRPr="00DF131C">
              <w:rPr>
                <w:rFonts w:ascii="Times New Roman" w:eastAsiaTheme="minorHAnsi" w:hAnsi="Times New Roman"/>
                <w:i/>
                <w:sz w:val="18"/>
                <w:szCs w:val="18"/>
              </w:rPr>
              <w:t>Mērķa vērtības noteikšanas principi/metodoloģija</w:t>
            </w:r>
            <w:r w:rsidRPr="00DF131C">
              <w:rPr>
                <w:rFonts w:ascii="Times New Roman" w:eastAsiaTheme="minorHAnsi" w:hAnsi="Times New Roman"/>
                <w:sz w:val="18"/>
                <w:szCs w:val="18"/>
              </w:rPr>
              <w:t xml:space="preserve">: </w:t>
            </w:r>
          </w:p>
          <w:p w14:paraId="361FE537" w14:textId="77777777" w:rsidR="00DE435B" w:rsidRDefault="00DE435B" w:rsidP="00EA74B8">
            <w:pPr>
              <w:pStyle w:val="ListParagraph"/>
              <w:numPr>
                <w:ilvl w:val="0"/>
                <w:numId w:val="1"/>
              </w:numPr>
              <w:spacing w:after="0" w:line="240" w:lineRule="auto"/>
              <w:ind w:left="205" w:hanging="219"/>
              <w:jc w:val="both"/>
              <w:rPr>
                <w:rFonts w:ascii="Times New Roman" w:eastAsiaTheme="minorHAnsi" w:hAnsi="Times New Roman" w:cstheme="minorBidi"/>
                <w:sz w:val="18"/>
                <w:szCs w:val="18"/>
              </w:rPr>
            </w:pPr>
            <w:r w:rsidRPr="004E4429">
              <w:rPr>
                <w:rFonts w:ascii="Times New Roman" w:eastAsiaTheme="minorHAnsi" w:hAnsi="Times New Roman" w:cstheme="minorBidi"/>
                <w:sz w:val="18"/>
                <w:szCs w:val="18"/>
              </w:rPr>
              <w:t>balstot</w:t>
            </w:r>
            <w:r>
              <w:rPr>
                <w:rFonts w:ascii="Times New Roman" w:eastAsiaTheme="minorHAnsi" w:hAnsi="Times New Roman" w:cstheme="minorBidi"/>
                <w:sz w:val="18"/>
                <w:szCs w:val="18"/>
              </w:rPr>
              <w:t xml:space="preserve">ies uz 2007.-2013.gada pieredzi, </w:t>
            </w:r>
            <w:r w:rsidRPr="004E4429">
              <w:rPr>
                <w:rFonts w:ascii="Times New Roman" w:eastAsiaTheme="minorHAnsi" w:hAnsi="Times New Roman" w:cstheme="minorBidi"/>
                <w:sz w:val="18"/>
                <w:szCs w:val="18"/>
              </w:rPr>
              <w:t xml:space="preserve">pieņemts, ka vienas darbavietas izveides izmaksas ir </w:t>
            </w:r>
            <w:r>
              <w:rPr>
                <w:rFonts w:ascii="Times New Roman" w:eastAsiaTheme="minorHAnsi" w:hAnsi="Times New Roman" w:cstheme="minorBidi"/>
                <w:sz w:val="18"/>
                <w:szCs w:val="18"/>
              </w:rPr>
              <w:t>41</w:t>
            </w:r>
            <w:r w:rsidRPr="004E4429">
              <w:rPr>
                <w:rFonts w:ascii="Times New Roman" w:eastAsiaTheme="minorHAnsi" w:hAnsi="Times New Roman" w:cstheme="minorBidi"/>
                <w:sz w:val="18"/>
                <w:szCs w:val="18"/>
              </w:rPr>
              <w:t xml:space="preserve"> 000 </w:t>
            </w:r>
            <w:proofErr w:type="spellStart"/>
            <w:r w:rsidRPr="00915A31">
              <w:rPr>
                <w:rFonts w:ascii="Times New Roman" w:eastAsiaTheme="minorHAnsi" w:hAnsi="Times New Roman" w:cstheme="minorBidi"/>
                <w:i/>
                <w:sz w:val="18"/>
                <w:szCs w:val="18"/>
              </w:rPr>
              <w:t>euro</w:t>
            </w:r>
            <w:proofErr w:type="spellEnd"/>
            <w:r w:rsidRPr="004E4429">
              <w:rPr>
                <w:rFonts w:ascii="Times New Roman" w:eastAsiaTheme="minorHAnsi" w:hAnsi="Times New Roman" w:cstheme="minorBidi"/>
                <w:sz w:val="18"/>
                <w:szCs w:val="18"/>
              </w:rPr>
              <w:t xml:space="preserve"> ERAF finansējuma</w:t>
            </w:r>
            <w:r>
              <w:rPr>
                <w:rFonts w:ascii="Times New Roman" w:eastAsiaTheme="minorHAnsi" w:hAnsi="Times New Roman" w:cstheme="minorBidi"/>
                <w:sz w:val="18"/>
                <w:szCs w:val="18"/>
              </w:rPr>
              <w:t>.</w:t>
            </w:r>
          </w:p>
          <w:p w14:paraId="00A94381" w14:textId="77777777" w:rsidR="00DE435B" w:rsidRDefault="00DE435B" w:rsidP="00EA74B8">
            <w:pPr>
              <w:pStyle w:val="ListParagraph"/>
              <w:numPr>
                <w:ilvl w:val="0"/>
                <w:numId w:val="1"/>
              </w:numPr>
              <w:spacing w:after="0" w:line="240" w:lineRule="auto"/>
              <w:ind w:left="205" w:hanging="219"/>
              <w:jc w:val="both"/>
              <w:rPr>
                <w:rFonts w:ascii="Times New Roman" w:eastAsiaTheme="minorHAnsi" w:hAnsi="Times New Roman" w:cstheme="minorBidi"/>
                <w:sz w:val="18"/>
                <w:szCs w:val="18"/>
              </w:rPr>
            </w:pPr>
            <w:r>
              <w:rPr>
                <w:rFonts w:ascii="Times New Roman" w:eastAsiaTheme="minorHAnsi" w:hAnsi="Times New Roman" w:cstheme="minorBidi"/>
                <w:sz w:val="18"/>
                <w:szCs w:val="18"/>
              </w:rPr>
              <w:t xml:space="preserve">Ņemot vērā diskonta faktoru, un to, ka </w:t>
            </w:r>
            <w:r w:rsidR="0048723B">
              <w:rPr>
                <w:rFonts w:ascii="Times New Roman" w:eastAsiaTheme="minorHAnsi" w:hAnsi="Times New Roman" w:cstheme="minorBidi"/>
                <w:sz w:val="18"/>
                <w:szCs w:val="18"/>
              </w:rPr>
              <w:t>1.atlases kārtas</w:t>
            </w:r>
            <w:r>
              <w:rPr>
                <w:rFonts w:ascii="Times New Roman" w:eastAsiaTheme="minorHAnsi" w:hAnsi="Times New Roman" w:cstheme="minorBidi"/>
                <w:sz w:val="18"/>
                <w:szCs w:val="18"/>
              </w:rPr>
              <w:t xml:space="preserve"> kopējais finansējums ir 69,4</w:t>
            </w:r>
            <w:r w:rsidRPr="004E4429">
              <w:rPr>
                <w:rFonts w:ascii="Times New Roman" w:eastAsiaTheme="minorHAnsi" w:hAnsi="Times New Roman" w:cstheme="minorBidi"/>
                <w:sz w:val="18"/>
                <w:szCs w:val="18"/>
              </w:rPr>
              <w:t xml:space="preserve"> </w:t>
            </w:r>
            <w:proofErr w:type="spellStart"/>
            <w:r>
              <w:rPr>
                <w:rFonts w:ascii="Times New Roman" w:eastAsiaTheme="minorHAnsi" w:hAnsi="Times New Roman" w:cstheme="minorBidi"/>
                <w:sz w:val="18"/>
                <w:szCs w:val="18"/>
              </w:rPr>
              <w:t>milj.</w:t>
            </w:r>
            <w:r w:rsidRPr="00915A31">
              <w:rPr>
                <w:rFonts w:ascii="Times New Roman" w:eastAsiaTheme="minorHAnsi" w:hAnsi="Times New Roman" w:cstheme="minorBidi"/>
                <w:i/>
                <w:sz w:val="18"/>
                <w:szCs w:val="18"/>
              </w:rPr>
              <w:t>euro</w:t>
            </w:r>
            <w:proofErr w:type="spellEnd"/>
            <w:r>
              <w:rPr>
                <w:rFonts w:ascii="Times New Roman" w:eastAsiaTheme="minorHAnsi" w:hAnsi="Times New Roman" w:cstheme="minorBidi"/>
                <w:sz w:val="18"/>
                <w:szCs w:val="18"/>
              </w:rPr>
              <w:t>, tiks radītas 1 458 jaunas darbavietas.</w:t>
            </w:r>
          </w:p>
          <w:p w14:paraId="788F5B24" w14:textId="77777777" w:rsidR="00DE435B" w:rsidRDefault="00DE435B" w:rsidP="00EA74B8">
            <w:pPr>
              <w:pStyle w:val="ListParagraph"/>
              <w:numPr>
                <w:ilvl w:val="0"/>
                <w:numId w:val="1"/>
              </w:numPr>
              <w:spacing w:after="0" w:line="240" w:lineRule="auto"/>
              <w:ind w:left="205" w:hanging="219"/>
              <w:jc w:val="both"/>
              <w:rPr>
                <w:rFonts w:ascii="Times New Roman" w:eastAsiaTheme="minorHAnsi" w:hAnsi="Times New Roman" w:cstheme="minorBidi"/>
                <w:sz w:val="18"/>
                <w:szCs w:val="18"/>
              </w:rPr>
            </w:pPr>
            <w:r>
              <w:rPr>
                <w:rFonts w:ascii="Times New Roman" w:eastAsiaTheme="minorHAnsi" w:hAnsi="Times New Roman" w:cstheme="minorBidi"/>
                <w:sz w:val="18"/>
                <w:szCs w:val="18"/>
              </w:rPr>
              <w:t>Ņemts vērā, ka 3.1.1.specifiskais atbalsta mērķa</w:t>
            </w:r>
            <w:r w:rsidRPr="004E4429">
              <w:rPr>
                <w:rFonts w:ascii="Times New Roman" w:eastAsiaTheme="minorHAnsi" w:hAnsi="Times New Roman" w:cstheme="minorBidi"/>
                <w:sz w:val="18"/>
                <w:szCs w:val="18"/>
              </w:rPr>
              <w:t xml:space="preserve"> </w:t>
            </w:r>
            <w:r>
              <w:rPr>
                <w:rFonts w:ascii="Times New Roman" w:eastAsiaTheme="minorHAnsi" w:hAnsi="Times New Roman" w:cstheme="minorBidi"/>
                <w:sz w:val="18"/>
                <w:szCs w:val="18"/>
              </w:rPr>
              <w:t>„</w:t>
            </w:r>
            <w:r w:rsidRPr="004E4429">
              <w:rPr>
                <w:rFonts w:ascii="Times New Roman" w:eastAsiaTheme="minorHAnsi" w:hAnsi="Times New Roman" w:cstheme="minorBidi"/>
                <w:sz w:val="18"/>
                <w:szCs w:val="18"/>
              </w:rPr>
              <w:t>sekmēt MVK izveidi un attīstību, īpaši apstrādes rūpniecībā un RIS3 prioritārajās nozarēs</w:t>
            </w:r>
            <w:r>
              <w:rPr>
                <w:rFonts w:ascii="Times New Roman" w:eastAsiaTheme="minorHAnsi" w:hAnsi="Times New Roman" w:cstheme="minorBidi"/>
                <w:sz w:val="18"/>
                <w:szCs w:val="18"/>
              </w:rPr>
              <w:t xml:space="preserve">” arī tiks ieguldīts daļēji tajās pašās industriālajās teritorijās, kur tiks ieguldīts </w:t>
            </w:r>
            <w:r w:rsidRPr="004E4429">
              <w:rPr>
                <w:rFonts w:ascii="Times New Roman" w:eastAsiaTheme="minorHAnsi" w:hAnsi="Times New Roman" w:cstheme="minorBidi"/>
                <w:sz w:val="18"/>
                <w:szCs w:val="18"/>
              </w:rPr>
              <w:t>3.3.1.specifiskā atbalsta mērķa</w:t>
            </w:r>
            <w:r>
              <w:rPr>
                <w:rFonts w:ascii="Times New Roman" w:eastAsiaTheme="minorHAnsi" w:hAnsi="Times New Roman" w:cstheme="minorBidi"/>
                <w:sz w:val="18"/>
                <w:szCs w:val="18"/>
              </w:rPr>
              <w:t xml:space="preserve"> ietvaros. Pieņemts, ka šāda pārklāšanās notiks 50% gadījumu. Šajos gadījumos tirgus nepilnības ir lielākas, līdz ar to vienas darbavietas radīšanai būs nepieciešami vidēji 82 000 </w:t>
            </w:r>
            <w:proofErr w:type="spellStart"/>
            <w:r w:rsidRPr="00915A31">
              <w:rPr>
                <w:rFonts w:ascii="Times New Roman" w:eastAsiaTheme="minorHAnsi" w:hAnsi="Times New Roman" w:cstheme="minorBidi"/>
                <w:i/>
                <w:sz w:val="18"/>
                <w:szCs w:val="18"/>
              </w:rPr>
              <w:t>euro</w:t>
            </w:r>
            <w:proofErr w:type="spellEnd"/>
            <w:r>
              <w:rPr>
                <w:rFonts w:ascii="Times New Roman" w:eastAsiaTheme="minorHAnsi" w:hAnsi="Times New Roman" w:cstheme="minorBidi"/>
                <w:i/>
                <w:sz w:val="18"/>
                <w:szCs w:val="18"/>
              </w:rPr>
              <w:t>.</w:t>
            </w:r>
          </w:p>
          <w:p w14:paraId="2EA86586" w14:textId="77777777" w:rsidR="00DE435B" w:rsidRDefault="00DE435B" w:rsidP="00EA74B8">
            <w:pPr>
              <w:pStyle w:val="ListParagraph"/>
              <w:numPr>
                <w:ilvl w:val="0"/>
                <w:numId w:val="1"/>
              </w:numPr>
              <w:spacing w:after="0" w:line="240" w:lineRule="auto"/>
              <w:ind w:left="205" w:hanging="219"/>
              <w:jc w:val="both"/>
              <w:rPr>
                <w:rFonts w:ascii="Times New Roman" w:eastAsiaTheme="minorHAnsi" w:hAnsi="Times New Roman" w:cstheme="minorBidi"/>
                <w:sz w:val="18"/>
                <w:szCs w:val="18"/>
              </w:rPr>
            </w:pPr>
            <w:r>
              <w:rPr>
                <w:rFonts w:ascii="Times New Roman" w:eastAsiaTheme="minorHAnsi" w:hAnsi="Times New Roman" w:cstheme="minorBidi"/>
                <w:sz w:val="18"/>
                <w:szCs w:val="18"/>
              </w:rPr>
              <w:lastRenderedPageBreak/>
              <w:t xml:space="preserve">Ņemot to vērā </w:t>
            </w:r>
            <w:r w:rsidRPr="00915A31">
              <w:rPr>
                <w:rFonts w:ascii="Times New Roman" w:eastAsiaTheme="minorHAnsi" w:hAnsi="Times New Roman" w:cstheme="minorBidi"/>
                <w:sz w:val="18"/>
                <w:szCs w:val="18"/>
              </w:rPr>
              <w:t>3.1.1.</w:t>
            </w:r>
            <w:r>
              <w:rPr>
                <w:rFonts w:ascii="Times New Roman" w:eastAsiaTheme="minorHAnsi" w:hAnsi="Times New Roman" w:cstheme="minorBidi"/>
                <w:sz w:val="18"/>
                <w:szCs w:val="18"/>
              </w:rPr>
              <w:t xml:space="preserve"> un 3.3.1.</w:t>
            </w:r>
            <w:r w:rsidRPr="00915A31">
              <w:rPr>
                <w:rFonts w:ascii="Times New Roman" w:eastAsiaTheme="minorHAnsi" w:hAnsi="Times New Roman" w:cstheme="minorBidi"/>
                <w:sz w:val="18"/>
                <w:szCs w:val="18"/>
              </w:rPr>
              <w:t>specifiskais atbalsta mērķa</w:t>
            </w:r>
            <w:r>
              <w:rPr>
                <w:rFonts w:ascii="Times New Roman" w:eastAsiaTheme="minorHAnsi" w:hAnsi="Times New Roman" w:cstheme="minorBidi"/>
                <w:sz w:val="18"/>
                <w:szCs w:val="18"/>
              </w:rPr>
              <w:t xml:space="preserve"> kopējais darba vietu skaits aprēķināts šādi”*:</w:t>
            </w:r>
          </w:p>
          <w:p w14:paraId="0D4B84D9" w14:textId="77777777" w:rsidR="00DE435B" w:rsidRDefault="00DE435B" w:rsidP="00EA74B8">
            <w:pPr>
              <w:pStyle w:val="ListParagraph"/>
              <w:numPr>
                <w:ilvl w:val="0"/>
                <w:numId w:val="3"/>
              </w:numPr>
              <w:spacing w:after="0" w:line="240" w:lineRule="auto"/>
              <w:jc w:val="both"/>
              <w:rPr>
                <w:rFonts w:ascii="Times New Roman" w:eastAsiaTheme="minorHAnsi" w:hAnsi="Times New Roman" w:cstheme="minorBidi"/>
                <w:sz w:val="18"/>
                <w:szCs w:val="18"/>
              </w:rPr>
            </w:pPr>
            <w:r w:rsidRPr="00915A31">
              <w:rPr>
                <w:rFonts w:ascii="Times New Roman" w:eastAsiaTheme="minorHAnsi" w:hAnsi="Times New Roman" w:cstheme="minorBidi"/>
                <w:sz w:val="18"/>
                <w:szCs w:val="18"/>
              </w:rPr>
              <w:t>Tikai 3.3.1</w:t>
            </w:r>
            <w:r>
              <w:rPr>
                <w:rFonts w:ascii="Times New Roman" w:eastAsiaTheme="minorHAnsi" w:hAnsi="Times New Roman" w:cstheme="minorBidi"/>
                <w:sz w:val="18"/>
                <w:szCs w:val="18"/>
              </w:rPr>
              <w:t>.</w:t>
            </w:r>
            <w:r w:rsidRPr="00915A31">
              <w:rPr>
                <w:rFonts w:ascii="Times New Roman" w:eastAsiaTheme="minorHAnsi" w:hAnsi="Times New Roman" w:cstheme="minorBidi"/>
                <w:sz w:val="18"/>
                <w:szCs w:val="18"/>
              </w:rPr>
              <w:t>radītās darbavietas</w:t>
            </w:r>
            <w:r>
              <w:rPr>
                <w:rFonts w:ascii="Times New Roman" w:eastAsiaTheme="minorHAnsi" w:hAnsi="Times New Roman" w:cstheme="minorBidi"/>
                <w:sz w:val="18"/>
                <w:szCs w:val="18"/>
              </w:rPr>
              <w:t xml:space="preserve">: </w:t>
            </w:r>
          </w:p>
          <w:p w14:paraId="25343108" w14:textId="77777777" w:rsidR="00DE435B" w:rsidRPr="00C667A4" w:rsidRDefault="00DE435B" w:rsidP="00EA74B8">
            <w:pPr>
              <w:pStyle w:val="ListParagraph"/>
              <w:spacing w:after="0" w:line="240" w:lineRule="auto"/>
              <w:ind w:left="346"/>
              <w:jc w:val="both"/>
              <w:rPr>
                <w:rFonts w:ascii="Times New Roman" w:eastAsiaTheme="minorHAnsi" w:hAnsi="Times New Roman" w:cstheme="minorBidi"/>
                <w:sz w:val="18"/>
                <w:szCs w:val="18"/>
              </w:rPr>
            </w:pPr>
            <w:r w:rsidRPr="00C667A4">
              <w:rPr>
                <w:rFonts w:ascii="Times New Roman" w:eastAsiaTheme="minorHAnsi" w:hAnsi="Times New Roman" w:cstheme="minorBidi"/>
                <w:sz w:val="18"/>
                <w:szCs w:val="18"/>
              </w:rPr>
              <w:t xml:space="preserve">69,4 milj. / 2 / 41 000 = </w:t>
            </w:r>
            <w:r>
              <w:rPr>
                <w:rFonts w:ascii="Times New Roman" w:eastAsiaTheme="minorHAnsi" w:hAnsi="Times New Roman" w:cstheme="minorBidi"/>
                <w:sz w:val="18"/>
                <w:szCs w:val="18"/>
              </w:rPr>
              <w:t>729</w:t>
            </w:r>
          </w:p>
          <w:p w14:paraId="5E49BC39" w14:textId="77777777" w:rsidR="00DE435B" w:rsidRDefault="00DE435B" w:rsidP="00EA74B8">
            <w:pPr>
              <w:pStyle w:val="ListParagraph"/>
              <w:numPr>
                <w:ilvl w:val="0"/>
                <w:numId w:val="3"/>
              </w:numPr>
              <w:spacing w:after="0" w:line="240" w:lineRule="auto"/>
              <w:jc w:val="both"/>
              <w:rPr>
                <w:rFonts w:ascii="Times New Roman" w:eastAsiaTheme="minorHAnsi" w:hAnsi="Times New Roman" w:cstheme="minorBidi"/>
                <w:sz w:val="18"/>
                <w:szCs w:val="18"/>
              </w:rPr>
            </w:pPr>
            <w:r w:rsidRPr="00915A31">
              <w:rPr>
                <w:rFonts w:ascii="Times New Roman" w:eastAsiaTheme="minorHAnsi" w:hAnsi="Times New Roman" w:cstheme="minorBidi"/>
                <w:sz w:val="18"/>
                <w:szCs w:val="18"/>
              </w:rPr>
              <w:t>Tikai 3.</w:t>
            </w:r>
            <w:r>
              <w:rPr>
                <w:rFonts w:ascii="Times New Roman" w:eastAsiaTheme="minorHAnsi" w:hAnsi="Times New Roman" w:cstheme="minorBidi"/>
                <w:sz w:val="18"/>
                <w:szCs w:val="18"/>
              </w:rPr>
              <w:t>1</w:t>
            </w:r>
            <w:r w:rsidRPr="00915A31">
              <w:rPr>
                <w:rFonts w:ascii="Times New Roman" w:eastAsiaTheme="minorHAnsi" w:hAnsi="Times New Roman" w:cstheme="minorBidi"/>
                <w:sz w:val="18"/>
                <w:szCs w:val="18"/>
              </w:rPr>
              <w:t>.1</w:t>
            </w:r>
            <w:r>
              <w:rPr>
                <w:rFonts w:ascii="Times New Roman" w:eastAsiaTheme="minorHAnsi" w:hAnsi="Times New Roman" w:cstheme="minorBidi"/>
                <w:sz w:val="18"/>
                <w:szCs w:val="18"/>
              </w:rPr>
              <w:t>.</w:t>
            </w:r>
            <w:r w:rsidRPr="00915A31">
              <w:rPr>
                <w:rFonts w:ascii="Times New Roman" w:eastAsiaTheme="minorHAnsi" w:hAnsi="Times New Roman" w:cstheme="minorBidi"/>
                <w:sz w:val="18"/>
                <w:szCs w:val="18"/>
              </w:rPr>
              <w:t>radītās darbavietas</w:t>
            </w:r>
            <w:r>
              <w:rPr>
                <w:rFonts w:ascii="Times New Roman" w:eastAsiaTheme="minorHAnsi" w:hAnsi="Times New Roman" w:cstheme="minorBidi"/>
                <w:sz w:val="18"/>
                <w:szCs w:val="18"/>
              </w:rPr>
              <w:t xml:space="preserve">: </w:t>
            </w:r>
          </w:p>
          <w:p w14:paraId="4DC6B903" w14:textId="77777777" w:rsidR="00DE435B" w:rsidRPr="00C667A4" w:rsidRDefault="00DE435B" w:rsidP="00EA74B8">
            <w:pPr>
              <w:pStyle w:val="ListParagraph"/>
              <w:spacing w:after="0" w:line="240" w:lineRule="auto"/>
              <w:ind w:left="346"/>
              <w:jc w:val="both"/>
              <w:rPr>
                <w:rFonts w:ascii="Times New Roman" w:eastAsiaTheme="minorHAnsi" w:hAnsi="Times New Roman" w:cstheme="minorBidi"/>
                <w:sz w:val="18"/>
                <w:szCs w:val="18"/>
              </w:rPr>
            </w:pPr>
            <w:r w:rsidRPr="00C667A4">
              <w:rPr>
                <w:rFonts w:ascii="Times New Roman" w:eastAsiaTheme="minorHAnsi" w:hAnsi="Times New Roman" w:cstheme="minorBidi"/>
                <w:sz w:val="18"/>
                <w:szCs w:val="18"/>
              </w:rPr>
              <w:t xml:space="preserve">21,7 milj. / 2 / 41 000 = </w:t>
            </w:r>
            <w:r>
              <w:rPr>
                <w:rFonts w:ascii="Times New Roman" w:eastAsiaTheme="minorHAnsi" w:hAnsi="Times New Roman" w:cstheme="minorBidi"/>
                <w:sz w:val="18"/>
                <w:szCs w:val="18"/>
              </w:rPr>
              <w:t>228</w:t>
            </w:r>
          </w:p>
          <w:p w14:paraId="5BB48DEB" w14:textId="77777777" w:rsidR="00DE435B" w:rsidRDefault="00DE435B" w:rsidP="00EA74B8">
            <w:pPr>
              <w:pStyle w:val="ListParagraph"/>
              <w:numPr>
                <w:ilvl w:val="0"/>
                <w:numId w:val="3"/>
              </w:numPr>
              <w:spacing w:after="0" w:line="240" w:lineRule="auto"/>
              <w:jc w:val="both"/>
              <w:rPr>
                <w:rFonts w:ascii="Times New Roman" w:eastAsiaTheme="minorHAnsi" w:hAnsi="Times New Roman" w:cstheme="minorBidi"/>
                <w:sz w:val="18"/>
                <w:szCs w:val="18"/>
              </w:rPr>
            </w:pPr>
            <w:r>
              <w:rPr>
                <w:rFonts w:ascii="Times New Roman" w:eastAsiaTheme="minorHAnsi" w:hAnsi="Times New Roman" w:cstheme="minorBidi"/>
                <w:sz w:val="18"/>
                <w:szCs w:val="18"/>
              </w:rPr>
              <w:t>Kopīgi radītās darbavietas:</w:t>
            </w:r>
          </w:p>
          <w:p w14:paraId="38B54471" w14:textId="77777777" w:rsidR="00DE435B" w:rsidRDefault="00DE435B" w:rsidP="00EA74B8">
            <w:pPr>
              <w:pStyle w:val="ListParagraph"/>
              <w:spacing w:after="0" w:line="240" w:lineRule="auto"/>
              <w:ind w:left="346"/>
              <w:jc w:val="both"/>
              <w:rPr>
                <w:rFonts w:ascii="Times New Roman" w:eastAsiaTheme="minorHAnsi" w:hAnsi="Times New Roman" w:cstheme="minorBidi"/>
                <w:sz w:val="18"/>
                <w:szCs w:val="18"/>
              </w:rPr>
            </w:pPr>
            <w:r>
              <w:rPr>
                <w:rFonts w:ascii="Times New Roman" w:eastAsiaTheme="minorHAnsi" w:hAnsi="Times New Roman" w:cstheme="minorBidi"/>
                <w:sz w:val="18"/>
                <w:szCs w:val="18"/>
              </w:rPr>
              <w:t>(69,4 milj. + 21,7 milj.) / 2 / (2*41 000) = 479</w:t>
            </w:r>
          </w:p>
          <w:p w14:paraId="1D0F7540" w14:textId="77777777" w:rsidR="00DE435B" w:rsidRDefault="00DE435B" w:rsidP="00EA74B8">
            <w:pPr>
              <w:pStyle w:val="ListParagraph"/>
              <w:numPr>
                <w:ilvl w:val="0"/>
                <w:numId w:val="3"/>
              </w:numPr>
              <w:spacing w:after="0" w:line="240" w:lineRule="auto"/>
              <w:jc w:val="both"/>
              <w:rPr>
                <w:rFonts w:ascii="Times New Roman" w:eastAsiaTheme="minorHAnsi" w:hAnsi="Times New Roman" w:cstheme="minorBidi"/>
                <w:sz w:val="18"/>
                <w:szCs w:val="18"/>
              </w:rPr>
            </w:pPr>
            <w:r>
              <w:rPr>
                <w:rFonts w:ascii="Times New Roman" w:eastAsiaTheme="minorHAnsi" w:hAnsi="Times New Roman" w:cstheme="minorBidi"/>
                <w:sz w:val="18"/>
                <w:szCs w:val="18"/>
              </w:rPr>
              <w:t>Kopējais darbavietu skaits:</w:t>
            </w:r>
          </w:p>
          <w:p w14:paraId="7511D5B0" w14:textId="77777777" w:rsidR="00DE435B" w:rsidRPr="00C667A4" w:rsidRDefault="00DE435B" w:rsidP="00EA74B8">
            <w:pPr>
              <w:pStyle w:val="ListParagraph"/>
              <w:spacing w:after="0" w:line="240" w:lineRule="auto"/>
              <w:ind w:left="346"/>
              <w:jc w:val="both"/>
              <w:rPr>
                <w:rFonts w:ascii="Times New Roman" w:eastAsiaTheme="minorHAnsi" w:hAnsi="Times New Roman" w:cstheme="minorBidi"/>
                <w:sz w:val="18"/>
                <w:szCs w:val="18"/>
              </w:rPr>
            </w:pPr>
            <w:r>
              <w:rPr>
                <w:rFonts w:ascii="Times New Roman" w:eastAsiaTheme="minorHAnsi" w:hAnsi="Times New Roman" w:cstheme="minorBidi"/>
                <w:sz w:val="18"/>
                <w:szCs w:val="18"/>
              </w:rPr>
              <w:t xml:space="preserve">729 + 228 + 479 = </w:t>
            </w:r>
            <w:r w:rsidRPr="0002186B">
              <w:rPr>
                <w:rFonts w:ascii="Times New Roman" w:eastAsiaTheme="minorHAnsi" w:hAnsi="Times New Roman" w:cstheme="minorBidi"/>
                <w:b/>
                <w:sz w:val="18"/>
                <w:szCs w:val="18"/>
              </w:rPr>
              <w:t>1 436</w:t>
            </w:r>
          </w:p>
          <w:p w14:paraId="483FBF0B" w14:textId="77777777" w:rsidR="00DE435B" w:rsidRDefault="00DE435B" w:rsidP="00EA74B8">
            <w:pPr>
              <w:pStyle w:val="ListParagraph"/>
              <w:numPr>
                <w:ilvl w:val="0"/>
                <w:numId w:val="3"/>
              </w:numPr>
              <w:spacing w:after="0" w:line="240" w:lineRule="auto"/>
              <w:rPr>
                <w:rFonts w:ascii="Times New Roman" w:eastAsiaTheme="minorHAnsi" w:hAnsi="Times New Roman"/>
                <w:sz w:val="18"/>
                <w:szCs w:val="18"/>
              </w:rPr>
            </w:pPr>
            <w:r w:rsidRPr="00C667A4">
              <w:rPr>
                <w:rFonts w:ascii="Times New Roman" w:eastAsiaTheme="minorHAnsi" w:hAnsi="Times New Roman"/>
                <w:sz w:val="18"/>
                <w:szCs w:val="18"/>
              </w:rPr>
              <w:t>Lai neieskaitītu jaunradītās darbavietas vairākkārt, pusi (</w:t>
            </w:r>
            <w:r>
              <w:rPr>
                <w:rFonts w:ascii="Times New Roman" w:eastAsiaTheme="minorHAnsi" w:hAnsi="Times New Roman"/>
                <w:sz w:val="18"/>
                <w:szCs w:val="18"/>
              </w:rPr>
              <w:t>479</w:t>
            </w:r>
            <w:r w:rsidRPr="00C667A4">
              <w:rPr>
                <w:rFonts w:ascii="Times New Roman" w:eastAsiaTheme="minorHAnsi" w:hAnsi="Times New Roman"/>
                <w:sz w:val="18"/>
                <w:szCs w:val="18"/>
              </w:rPr>
              <w:t xml:space="preserve"> / 2 = </w:t>
            </w:r>
            <w:r>
              <w:rPr>
                <w:rFonts w:ascii="Times New Roman" w:eastAsiaTheme="minorHAnsi" w:hAnsi="Times New Roman"/>
                <w:sz w:val="18"/>
                <w:szCs w:val="18"/>
              </w:rPr>
              <w:t>239</w:t>
            </w:r>
            <w:r w:rsidRPr="00C667A4">
              <w:rPr>
                <w:rFonts w:ascii="Times New Roman" w:eastAsiaTheme="minorHAnsi" w:hAnsi="Times New Roman"/>
                <w:sz w:val="18"/>
                <w:szCs w:val="18"/>
              </w:rPr>
              <w:t xml:space="preserve"> darbavietas)  no kopīgi radīto darba vietu skaita ieskaita 3.1.1. , bet otru pusi - 3.3.1.</w:t>
            </w:r>
            <w:r>
              <w:rPr>
                <w:rFonts w:ascii="Times New Roman" w:eastAsiaTheme="minorHAnsi" w:hAnsi="Times New Roman"/>
                <w:sz w:val="18"/>
                <w:szCs w:val="18"/>
              </w:rPr>
              <w:t>specifiskā</w:t>
            </w:r>
            <w:r w:rsidRPr="00C667A4">
              <w:rPr>
                <w:rFonts w:ascii="Times New Roman" w:eastAsiaTheme="minorHAnsi" w:hAnsi="Times New Roman"/>
                <w:sz w:val="18"/>
                <w:szCs w:val="18"/>
              </w:rPr>
              <w:t xml:space="preserve"> atbalsta mērķa iznākuma rādītāja vērtībā.</w:t>
            </w:r>
          </w:p>
          <w:p w14:paraId="5090D772" w14:textId="77777777" w:rsidR="00DE435B" w:rsidRPr="0048723B" w:rsidRDefault="00DE435B" w:rsidP="00EA74B8">
            <w:pPr>
              <w:pStyle w:val="ListParagraph"/>
              <w:numPr>
                <w:ilvl w:val="0"/>
                <w:numId w:val="3"/>
              </w:numPr>
              <w:spacing w:after="0" w:line="240" w:lineRule="auto"/>
              <w:rPr>
                <w:rFonts w:ascii="Times New Roman" w:eastAsiaTheme="minorHAnsi" w:hAnsi="Times New Roman"/>
                <w:sz w:val="18"/>
                <w:szCs w:val="18"/>
              </w:rPr>
            </w:pPr>
            <w:r>
              <w:rPr>
                <w:rFonts w:ascii="Times New Roman" w:eastAsiaTheme="minorHAnsi" w:hAnsi="Times New Roman"/>
                <w:sz w:val="18"/>
                <w:szCs w:val="18"/>
              </w:rPr>
              <w:t xml:space="preserve">Līdz ar to </w:t>
            </w:r>
            <w:r w:rsidRPr="00C667A4">
              <w:rPr>
                <w:rFonts w:ascii="Times New Roman" w:eastAsiaTheme="minorHAnsi" w:hAnsi="Times New Roman"/>
                <w:sz w:val="18"/>
                <w:szCs w:val="18"/>
              </w:rPr>
              <w:t>3.3.1.specifiskā atbalsta mērķa</w:t>
            </w:r>
            <w:r>
              <w:rPr>
                <w:rFonts w:ascii="Times New Roman" w:eastAsiaTheme="minorHAnsi" w:hAnsi="Times New Roman"/>
                <w:sz w:val="18"/>
                <w:szCs w:val="18"/>
              </w:rPr>
              <w:t xml:space="preserve"> rādītāja vērtība ir : 729 + 239 = </w:t>
            </w:r>
            <w:r w:rsidRPr="0002186B">
              <w:rPr>
                <w:rFonts w:ascii="Times New Roman" w:eastAsiaTheme="minorHAnsi" w:hAnsi="Times New Roman"/>
                <w:b/>
                <w:sz w:val="18"/>
                <w:szCs w:val="18"/>
              </w:rPr>
              <w:t>968</w:t>
            </w:r>
            <w:r>
              <w:rPr>
                <w:rFonts w:ascii="Times New Roman" w:eastAsiaTheme="minorHAnsi" w:hAnsi="Times New Roman"/>
                <w:sz w:val="18"/>
                <w:szCs w:val="18"/>
              </w:rPr>
              <w:t xml:space="preserve"> darbavietas., bet 3.1.1.</w:t>
            </w:r>
            <w:r>
              <w:t xml:space="preserve"> </w:t>
            </w:r>
            <w:r w:rsidRPr="004B11EE">
              <w:rPr>
                <w:rFonts w:ascii="Times New Roman" w:eastAsiaTheme="minorHAnsi" w:hAnsi="Times New Roman"/>
                <w:sz w:val="18"/>
                <w:szCs w:val="18"/>
              </w:rPr>
              <w:t>specifiskā atbalsta mērķa</w:t>
            </w:r>
            <w:r>
              <w:rPr>
                <w:rFonts w:ascii="Times New Roman" w:eastAsiaTheme="minorHAnsi" w:hAnsi="Times New Roman"/>
                <w:sz w:val="18"/>
                <w:szCs w:val="18"/>
              </w:rPr>
              <w:t xml:space="preserve"> rādītāja vērtība ir: 228 + 239 = </w:t>
            </w:r>
            <w:r w:rsidRPr="0002186B">
              <w:rPr>
                <w:rFonts w:ascii="Times New Roman" w:eastAsiaTheme="minorHAnsi" w:hAnsi="Times New Roman"/>
                <w:b/>
                <w:sz w:val="18"/>
                <w:szCs w:val="18"/>
              </w:rPr>
              <w:t>467</w:t>
            </w:r>
          </w:p>
          <w:p w14:paraId="5FA61112" w14:textId="77777777" w:rsidR="00DE435B" w:rsidRDefault="00DE435B" w:rsidP="00EA74B8">
            <w:pPr>
              <w:spacing w:after="0" w:line="240" w:lineRule="auto"/>
              <w:rPr>
                <w:rFonts w:ascii="Times New Roman" w:eastAsiaTheme="minorHAnsi" w:hAnsi="Times New Roman"/>
                <w:sz w:val="18"/>
                <w:szCs w:val="18"/>
              </w:rPr>
            </w:pPr>
          </w:p>
          <w:p w14:paraId="00E9C585" w14:textId="77777777" w:rsidR="00DE435B" w:rsidRDefault="00DE435B" w:rsidP="00EA74B8">
            <w:pPr>
              <w:spacing w:after="0" w:line="240" w:lineRule="auto"/>
              <w:rPr>
                <w:rFonts w:ascii="Times New Roman" w:eastAsiaTheme="minorHAnsi" w:hAnsi="Times New Roman"/>
                <w:sz w:val="18"/>
                <w:szCs w:val="18"/>
              </w:rPr>
            </w:pPr>
            <w:r>
              <w:rPr>
                <w:rFonts w:ascii="Times New Roman" w:eastAsiaTheme="minorHAnsi" w:hAnsi="Times New Roman"/>
                <w:sz w:val="18"/>
                <w:szCs w:val="18"/>
              </w:rPr>
              <w:t>* Aprēķinu uzskatāmības labad nav parādīts diskonta aprēķins.</w:t>
            </w:r>
          </w:p>
          <w:p w14:paraId="234B3AF6" w14:textId="77777777" w:rsidR="00DE435B" w:rsidRPr="00DF131C" w:rsidRDefault="00DE435B" w:rsidP="00EA74B8">
            <w:pPr>
              <w:spacing w:after="0" w:line="240" w:lineRule="auto"/>
              <w:rPr>
                <w:rFonts w:ascii="Times New Roman" w:eastAsiaTheme="minorHAnsi" w:hAnsi="Times New Roman"/>
                <w:sz w:val="18"/>
                <w:szCs w:val="18"/>
              </w:rPr>
            </w:pPr>
          </w:p>
          <w:p w14:paraId="1821B953" w14:textId="77777777" w:rsidR="00DE435B" w:rsidRPr="00DF131C" w:rsidRDefault="00DE435B" w:rsidP="00EA74B8">
            <w:pPr>
              <w:spacing w:after="0" w:line="240" w:lineRule="auto"/>
              <w:rPr>
                <w:rFonts w:ascii="Times New Roman" w:eastAsiaTheme="minorHAnsi" w:hAnsi="Times New Roman"/>
                <w:i/>
                <w:sz w:val="18"/>
                <w:szCs w:val="18"/>
              </w:rPr>
            </w:pPr>
            <w:r w:rsidRPr="00DF131C">
              <w:rPr>
                <w:rFonts w:ascii="Times New Roman" w:eastAsiaTheme="minorHAnsi" w:hAnsi="Times New Roman"/>
                <w:i/>
                <w:sz w:val="18"/>
                <w:szCs w:val="18"/>
              </w:rPr>
              <w:t xml:space="preserve">Iznākuma rādītājam sasniegšanai paredzētais finansējums: </w:t>
            </w:r>
          </w:p>
          <w:p w14:paraId="60CF6ED8" w14:textId="40CBEED6" w:rsidR="00412BD4" w:rsidRPr="00A72AAF" w:rsidRDefault="00724167" w:rsidP="003448ED">
            <w:pPr>
              <w:spacing w:after="0" w:line="240" w:lineRule="auto"/>
              <w:rPr>
                <w:rFonts w:ascii="Times New Roman" w:eastAsiaTheme="minorHAnsi" w:hAnsi="Times New Roman"/>
                <w:sz w:val="18"/>
                <w:szCs w:val="18"/>
              </w:rPr>
            </w:pPr>
            <w:r w:rsidRPr="00724167">
              <w:rPr>
                <w:rFonts w:ascii="Times New Roman" w:eastAsiaTheme="minorHAnsi" w:hAnsi="Times New Roman"/>
                <w:sz w:val="18"/>
                <w:szCs w:val="18"/>
              </w:rPr>
              <w:t>70 349</w:t>
            </w:r>
            <w:r>
              <w:rPr>
                <w:rFonts w:ascii="Times New Roman" w:eastAsiaTheme="minorHAnsi" w:hAnsi="Times New Roman"/>
                <w:sz w:val="18"/>
                <w:szCs w:val="18"/>
              </w:rPr>
              <w:t> </w:t>
            </w:r>
            <w:r w:rsidRPr="00724167">
              <w:rPr>
                <w:rFonts w:ascii="Times New Roman" w:eastAsiaTheme="minorHAnsi" w:hAnsi="Times New Roman"/>
                <w:sz w:val="18"/>
                <w:szCs w:val="18"/>
              </w:rPr>
              <w:t>561</w:t>
            </w:r>
            <w:r>
              <w:rPr>
                <w:rFonts w:eastAsia="Times New Roman" w:cs="Calibri"/>
                <w:color w:val="000000"/>
              </w:rPr>
              <w:t xml:space="preserve"> </w:t>
            </w:r>
            <w:r w:rsidR="00DE435B" w:rsidRPr="00C667A4">
              <w:rPr>
                <w:rFonts w:ascii="Times New Roman" w:eastAsiaTheme="minorHAnsi" w:hAnsi="Times New Roman"/>
                <w:sz w:val="18"/>
                <w:szCs w:val="18"/>
              </w:rPr>
              <w:t>EUR</w:t>
            </w:r>
          </w:p>
        </w:tc>
        <w:tc>
          <w:tcPr>
            <w:tcW w:w="1985" w:type="dxa"/>
          </w:tcPr>
          <w:p w14:paraId="10DC33D1" w14:textId="77777777" w:rsidR="00DE435B" w:rsidRPr="00A72AAF" w:rsidRDefault="00DE435B" w:rsidP="00526F8A">
            <w:pPr>
              <w:spacing w:after="0" w:line="240" w:lineRule="auto"/>
              <w:jc w:val="both"/>
              <w:rPr>
                <w:rFonts w:ascii="Times New Roman" w:eastAsiaTheme="minorHAnsi" w:hAnsi="Times New Roman"/>
                <w:i/>
                <w:sz w:val="18"/>
                <w:szCs w:val="18"/>
              </w:rPr>
            </w:pPr>
            <w:r w:rsidRPr="00A72AAF">
              <w:rPr>
                <w:rFonts w:ascii="Times New Roman" w:eastAsiaTheme="minorHAnsi" w:hAnsi="Times New Roman"/>
                <w:i/>
                <w:sz w:val="18"/>
                <w:szCs w:val="18"/>
              </w:rPr>
              <w:lastRenderedPageBreak/>
              <w:t>Starpposma vērtība 2018. gadam:</w:t>
            </w:r>
          </w:p>
          <w:p w14:paraId="6ABCA4E7" w14:textId="77777777" w:rsidR="00DE435B" w:rsidRPr="00212287" w:rsidRDefault="00212287" w:rsidP="00526F8A">
            <w:pPr>
              <w:spacing w:after="0" w:line="240" w:lineRule="auto"/>
              <w:jc w:val="both"/>
              <w:rPr>
                <w:rFonts w:ascii="Times New Roman" w:eastAsiaTheme="minorHAnsi" w:hAnsi="Times New Roman"/>
                <w:b/>
                <w:bCs/>
                <w:sz w:val="18"/>
                <w:szCs w:val="18"/>
              </w:rPr>
            </w:pPr>
            <w:r w:rsidRPr="00212287">
              <w:rPr>
                <w:rFonts w:ascii="Times New Roman" w:eastAsiaTheme="minorHAnsi" w:hAnsi="Times New Roman"/>
                <w:b/>
                <w:bCs/>
                <w:sz w:val="18"/>
                <w:szCs w:val="18"/>
              </w:rPr>
              <w:t>13 886</w:t>
            </w:r>
            <w:r>
              <w:rPr>
                <w:rFonts w:ascii="Times New Roman" w:eastAsiaTheme="minorHAnsi" w:hAnsi="Times New Roman"/>
                <w:b/>
                <w:bCs/>
                <w:sz w:val="18"/>
                <w:szCs w:val="18"/>
              </w:rPr>
              <w:t> </w:t>
            </w:r>
            <w:r w:rsidRPr="00212287">
              <w:rPr>
                <w:rFonts w:ascii="Times New Roman" w:eastAsiaTheme="minorHAnsi" w:hAnsi="Times New Roman"/>
                <w:b/>
                <w:bCs/>
                <w:sz w:val="18"/>
                <w:szCs w:val="18"/>
              </w:rPr>
              <w:t>292</w:t>
            </w:r>
            <w:r>
              <w:rPr>
                <w:rFonts w:ascii="Times New Roman" w:eastAsiaTheme="minorHAnsi" w:hAnsi="Times New Roman"/>
                <w:b/>
                <w:bCs/>
                <w:sz w:val="18"/>
                <w:szCs w:val="18"/>
              </w:rPr>
              <w:t xml:space="preserve"> </w:t>
            </w:r>
            <w:r w:rsidR="00DE435B" w:rsidRPr="00A72AAF">
              <w:rPr>
                <w:rFonts w:ascii="Times New Roman" w:eastAsiaTheme="minorHAnsi" w:hAnsi="Times New Roman"/>
                <w:sz w:val="18"/>
                <w:szCs w:val="18"/>
              </w:rPr>
              <w:t>EUR</w:t>
            </w:r>
          </w:p>
          <w:p w14:paraId="620F12CC" w14:textId="77777777" w:rsidR="00DE435B" w:rsidRPr="00A72AAF" w:rsidRDefault="00DE435B" w:rsidP="00526F8A">
            <w:pPr>
              <w:spacing w:after="0" w:line="240" w:lineRule="auto"/>
              <w:jc w:val="both"/>
              <w:rPr>
                <w:rFonts w:ascii="Times New Roman" w:eastAsiaTheme="minorHAnsi" w:hAnsi="Times New Roman"/>
                <w:i/>
                <w:sz w:val="18"/>
                <w:szCs w:val="18"/>
              </w:rPr>
            </w:pPr>
          </w:p>
          <w:p w14:paraId="775116FD" w14:textId="77777777" w:rsidR="00DE435B" w:rsidRPr="00A72AAF" w:rsidRDefault="00DE435B" w:rsidP="00526F8A">
            <w:pPr>
              <w:spacing w:after="0" w:line="240" w:lineRule="auto"/>
              <w:jc w:val="both"/>
              <w:rPr>
                <w:rFonts w:ascii="Times New Roman" w:eastAsiaTheme="minorHAnsi" w:hAnsi="Times New Roman"/>
                <w:i/>
                <w:sz w:val="18"/>
                <w:szCs w:val="18"/>
              </w:rPr>
            </w:pPr>
            <w:r w:rsidRPr="00A72AAF">
              <w:rPr>
                <w:rFonts w:ascii="Times New Roman" w:eastAsiaTheme="minorHAnsi" w:hAnsi="Times New Roman"/>
                <w:i/>
                <w:sz w:val="18"/>
                <w:szCs w:val="18"/>
              </w:rPr>
              <w:t>Mērķis 2023. gadam (vienāds ar 100 % no  SAM paredzētā kopējā finansējuma):</w:t>
            </w:r>
          </w:p>
          <w:p w14:paraId="3A127FFB" w14:textId="77777777" w:rsidR="000F4FDA" w:rsidRDefault="00724167" w:rsidP="00526F8A">
            <w:pPr>
              <w:spacing w:after="0" w:line="240" w:lineRule="auto"/>
              <w:jc w:val="both"/>
              <w:rPr>
                <w:rFonts w:ascii="Times New Roman" w:eastAsiaTheme="minorHAnsi" w:hAnsi="Times New Roman"/>
                <w:sz w:val="16"/>
                <w:szCs w:val="16"/>
              </w:rPr>
            </w:pPr>
            <w:r w:rsidRPr="00724167">
              <w:rPr>
                <w:rFonts w:ascii="Times New Roman" w:eastAsiaTheme="minorHAnsi" w:hAnsi="Times New Roman"/>
                <w:b/>
                <w:sz w:val="18"/>
                <w:szCs w:val="18"/>
              </w:rPr>
              <w:t>70 349 561</w:t>
            </w:r>
            <w:r>
              <w:rPr>
                <w:rFonts w:eastAsia="Times New Roman" w:cs="Calibri"/>
                <w:color w:val="000000"/>
              </w:rPr>
              <w:t xml:space="preserve"> </w:t>
            </w:r>
            <w:r w:rsidR="00DE435B" w:rsidRPr="00A72AAF">
              <w:rPr>
                <w:rFonts w:ascii="Times New Roman" w:eastAsiaTheme="minorHAnsi" w:hAnsi="Times New Roman"/>
                <w:sz w:val="18"/>
                <w:szCs w:val="18"/>
              </w:rPr>
              <w:t>EUR</w:t>
            </w:r>
            <w:r w:rsidR="000F4FDA">
              <w:rPr>
                <w:rFonts w:ascii="Times New Roman" w:eastAsiaTheme="minorHAnsi" w:hAnsi="Times New Roman"/>
                <w:sz w:val="18"/>
                <w:szCs w:val="18"/>
              </w:rPr>
              <w:t xml:space="preserve">, </w:t>
            </w:r>
            <w:r w:rsidR="000F4FDA">
              <w:rPr>
                <w:rFonts w:ascii="Times New Roman" w:eastAsiaTheme="minorHAnsi" w:hAnsi="Times New Roman"/>
                <w:sz w:val="16"/>
                <w:szCs w:val="16"/>
              </w:rPr>
              <w:t xml:space="preserve">t.sk. integrēto teritoriālo investīciju ietvaros – </w:t>
            </w:r>
            <w:r w:rsidR="000F4FDA">
              <w:rPr>
                <w:rFonts w:ascii="Times New Roman" w:hAnsi="Times New Roman"/>
                <w:sz w:val="16"/>
                <w:szCs w:val="16"/>
              </w:rPr>
              <w:t xml:space="preserve"> </w:t>
            </w:r>
          </w:p>
          <w:p w14:paraId="74A9BCD4" w14:textId="207160A1" w:rsidR="000F4FDA" w:rsidRPr="000F4FDA" w:rsidRDefault="000F4FDA" w:rsidP="000F4FDA">
            <w:pPr>
              <w:spacing w:after="0" w:line="240" w:lineRule="auto"/>
              <w:jc w:val="both"/>
              <w:rPr>
                <w:rFonts w:ascii="Times New Roman" w:eastAsiaTheme="minorHAnsi" w:hAnsi="Times New Roman"/>
                <w:sz w:val="18"/>
                <w:szCs w:val="18"/>
              </w:rPr>
            </w:pPr>
            <w:r w:rsidRPr="000F4FDA">
              <w:rPr>
                <w:rFonts w:ascii="Times New Roman" w:eastAsiaTheme="minorHAnsi" w:hAnsi="Times New Roman"/>
                <w:sz w:val="18"/>
                <w:szCs w:val="18"/>
              </w:rPr>
              <w:t>13 755</w:t>
            </w:r>
            <w:r w:rsidRPr="000F4FDA">
              <w:rPr>
                <w:rFonts w:ascii="Times New Roman" w:eastAsiaTheme="minorHAnsi" w:hAnsi="Times New Roman"/>
                <w:sz w:val="18"/>
                <w:szCs w:val="18"/>
              </w:rPr>
              <w:t> </w:t>
            </w:r>
            <w:r w:rsidRPr="000F4FDA">
              <w:rPr>
                <w:rFonts w:ascii="Times New Roman" w:eastAsiaTheme="minorHAnsi" w:hAnsi="Times New Roman"/>
                <w:sz w:val="18"/>
                <w:szCs w:val="18"/>
              </w:rPr>
              <w:t>314</w:t>
            </w:r>
          </w:p>
          <w:p w14:paraId="7CEBE3EA" w14:textId="603706F3" w:rsidR="00DE435B" w:rsidRPr="00724167" w:rsidRDefault="000F4FDA" w:rsidP="00526F8A">
            <w:pPr>
              <w:spacing w:after="0" w:line="240" w:lineRule="auto"/>
              <w:jc w:val="both"/>
              <w:rPr>
                <w:rFonts w:eastAsia="Times New Roman" w:cs="Calibri"/>
                <w:color w:val="000000"/>
              </w:rPr>
            </w:pPr>
            <w:r>
              <w:rPr>
                <w:rFonts w:ascii="Times New Roman" w:eastAsiaTheme="minorHAnsi" w:hAnsi="Times New Roman"/>
                <w:sz w:val="16"/>
                <w:szCs w:val="16"/>
              </w:rPr>
              <w:t xml:space="preserve"> EUR</w:t>
            </w:r>
          </w:p>
          <w:p w14:paraId="00937987" w14:textId="77777777" w:rsidR="00DE435B" w:rsidRPr="00A72AAF" w:rsidRDefault="00DE435B" w:rsidP="00526F8A">
            <w:pPr>
              <w:spacing w:after="0" w:line="240" w:lineRule="auto"/>
              <w:jc w:val="both"/>
              <w:rPr>
                <w:rFonts w:ascii="Times New Roman" w:eastAsiaTheme="minorHAnsi" w:hAnsi="Times New Roman"/>
                <w:i/>
                <w:sz w:val="18"/>
                <w:szCs w:val="18"/>
              </w:rPr>
            </w:pPr>
          </w:p>
          <w:p w14:paraId="34A9EAB6" w14:textId="77777777" w:rsidR="00DE435B" w:rsidRPr="00A72AAF" w:rsidRDefault="00DE435B" w:rsidP="00526F8A">
            <w:pPr>
              <w:spacing w:after="0" w:line="240" w:lineRule="auto"/>
              <w:jc w:val="both"/>
              <w:rPr>
                <w:rFonts w:ascii="Times New Roman" w:eastAsiaTheme="minorHAnsi" w:hAnsi="Times New Roman"/>
                <w:i/>
                <w:sz w:val="18"/>
                <w:szCs w:val="18"/>
              </w:rPr>
            </w:pPr>
            <w:r w:rsidRPr="00A72AAF">
              <w:rPr>
                <w:rFonts w:ascii="Times New Roman" w:eastAsiaTheme="minorHAnsi" w:hAnsi="Times New Roman"/>
                <w:i/>
                <w:sz w:val="18"/>
                <w:szCs w:val="18"/>
              </w:rPr>
              <w:t>Starpposma vērtības noteikš</w:t>
            </w:r>
            <w:bookmarkStart w:id="0" w:name="_GoBack"/>
            <w:bookmarkEnd w:id="0"/>
            <w:r w:rsidRPr="00A72AAF">
              <w:rPr>
                <w:rFonts w:ascii="Times New Roman" w:eastAsiaTheme="minorHAnsi" w:hAnsi="Times New Roman"/>
                <w:i/>
                <w:sz w:val="18"/>
                <w:szCs w:val="18"/>
              </w:rPr>
              <w:t xml:space="preserve">anas aprēķins: </w:t>
            </w:r>
          </w:p>
          <w:p w14:paraId="759E2A92" w14:textId="77777777" w:rsidR="00645734" w:rsidRPr="00212287" w:rsidRDefault="00DE435B" w:rsidP="00212287">
            <w:pPr>
              <w:spacing w:after="0" w:line="240" w:lineRule="auto"/>
              <w:jc w:val="both"/>
              <w:rPr>
                <w:rFonts w:ascii="Times New Roman" w:eastAsiaTheme="minorHAnsi" w:hAnsi="Times New Roman"/>
                <w:sz w:val="18"/>
                <w:szCs w:val="18"/>
              </w:rPr>
            </w:pPr>
            <w:r w:rsidRPr="00A72AAF">
              <w:rPr>
                <w:rFonts w:ascii="Times New Roman" w:eastAsiaTheme="minorHAnsi" w:hAnsi="Times New Roman"/>
                <w:sz w:val="18"/>
                <w:szCs w:val="18"/>
              </w:rPr>
              <w:t>Starpposma vērtība noteikta, ņemot vērā 2007.-2013.g. plānošanas perioda pieredzi, kurā starpposma rezultāti 2010.gadā prioritātē "</w:t>
            </w:r>
            <w:proofErr w:type="spellStart"/>
            <w:r w:rsidRPr="00A72AAF">
              <w:rPr>
                <w:rFonts w:ascii="Times New Roman" w:eastAsiaTheme="minorHAnsi" w:hAnsi="Times New Roman"/>
                <w:sz w:val="18"/>
                <w:szCs w:val="18"/>
              </w:rPr>
              <w:t>Policentriska</w:t>
            </w:r>
            <w:proofErr w:type="spellEnd"/>
            <w:r w:rsidRPr="00A72AAF">
              <w:rPr>
                <w:rFonts w:ascii="Times New Roman" w:eastAsiaTheme="minorHAnsi" w:hAnsi="Times New Roman"/>
                <w:sz w:val="18"/>
                <w:szCs w:val="18"/>
              </w:rPr>
              <w:t xml:space="preserve"> attīstība” vidēji atbilda 27,9% no kopējā finansējuma. Ņemot vērā to, ka SAM īstenošanu paredzēts uzsākt 2015.gada beigās, starpposma rezultāta vērtība noteikta 20% apmērā no SAM </w:t>
            </w:r>
            <w:r w:rsidRPr="00A72AAF">
              <w:rPr>
                <w:rFonts w:ascii="Times New Roman" w:eastAsiaTheme="minorHAnsi" w:hAnsi="Times New Roman"/>
                <w:sz w:val="18"/>
                <w:szCs w:val="18"/>
              </w:rPr>
              <w:lastRenderedPageBreak/>
              <w:t>paredzētā kopējā finansējuma.</w:t>
            </w:r>
          </w:p>
        </w:tc>
      </w:tr>
    </w:tbl>
    <w:p w14:paraId="1834E4ED" w14:textId="77777777" w:rsidR="00CB437B" w:rsidRPr="00A72AAF" w:rsidRDefault="00CB437B">
      <w:pPr>
        <w:rPr>
          <w:rFonts w:ascii="Times New Roman" w:hAnsi="Times New Roman"/>
          <w:sz w:val="18"/>
          <w:szCs w:val="18"/>
        </w:rPr>
      </w:pPr>
    </w:p>
    <w:sectPr w:rsidR="00CB437B" w:rsidRPr="00A72AAF" w:rsidSect="007E1B04">
      <w:pgSz w:w="16838" w:h="11906" w:orient="landscape"/>
      <w:pgMar w:top="426" w:right="1440" w:bottom="567" w:left="144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6686E9" w16cid:durableId="1F9902BB"/>
  <w16cid:commentId w16cid:paraId="49524AC5" w16cid:durableId="1F9902BC"/>
  <w16cid:commentId w16cid:paraId="5A0BFDAF" w16cid:durableId="1F99098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14DFA" w14:textId="77777777" w:rsidR="00C74DEA" w:rsidRDefault="00C74DEA" w:rsidP="00C109A7">
      <w:pPr>
        <w:spacing w:after="0" w:line="240" w:lineRule="auto"/>
      </w:pPr>
      <w:r>
        <w:separator/>
      </w:r>
    </w:p>
  </w:endnote>
  <w:endnote w:type="continuationSeparator" w:id="0">
    <w:p w14:paraId="5A113C3C" w14:textId="77777777" w:rsidR="00C74DEA" w:rsidRDefault="00C74DEA" w:rsidP="00C1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FFF521" w14:textId="77777777" w:rsidR="00C74DEA" w:rsidRDefault="00C74DEA" w:rsidP="00C109A7">
      <w:pPr>
        <w:spacing w:after="0" w:line="240" w:lineRule="auto"/>
      </w:pPr>
      <w:r>
        <w:separator/>
      </w:r>
    </w:p>
  </w:footnote>
  <w:footnote w:type="continuationSeparator" w:id="0">
    <w:p w14:paraId="28BD5144" w14:textId="77777777" w:rsidR="00C74DEA" w:rsidRDefault="00C74DEA" w:rsidP="00C109A7">
      <w:pPr>
        <w:spacing w:after="0" w:line="240" w:lineRule="auto"/>
      </w:pPr>
      <w:r>
        <w:continuationSeparator/>
      </w:r>
    </w:p>
  </w:footnote>
  <w:footnote w:id="1">
    <w:p w14:paraId="16FA8499" w14:textId="61F5CC25" w:rsidR="0011667B" w:rsidRPr="00A90C04" w:rsidRDefault="0011667B" w:rsidP="00E02E90">
      <w:pPr>
        <w:pStyle w:val="FootnoteText"/>
        <w:jc w:val="both"/>
        <w:rPr>
          <w:rFonts w:ascii="Times New Roman" w:hAnsi="Times New Roman"/>
        </w:rPr>
      </w:pPr>
      <w:r>
        <w:rPr>
          <w:rStyle w:val="FootnoteReference"/>
        </w:rPr>
        <w:footnoteRef/>
      </w:r>
      <w:r>
        <w:t xml:space="preserve"> </w:t>
      </w:r>
      <w:r w:rsidRPr="00A90C04">
        <w:rPr>
          <w:rFonts w:ascii="Times New Roman" w:hAnsi="Times New Roman"/>
          <w:sz w:val="18"/>
          <w:szCs w:val="18"/>
        </w:rPr>
        <w:t xml:space="preserve">Finanšu rādītāju mērvienība </w:t>
      </w:r>
      <w:r w:rsidR="00E02E90">
        <w:rPr>
          <w:rFonts w:ascii="Times New Roman" w:hAnsi="Times New Roman"/>
          <w:sz w:val="18"/>
          <w:szCs w:val="18"/>
        </w:rPr>
        <w:t>–</w:t>
      </w:r>
      <w:r w:rsidRPr="00A90C04">
        <w:rPr>
          <w:rFonts w:ascii="Times New Roman" w:hAnsi="Times New Roman"/>
          <w:sz w:val="18"/>
          <w:szCs w:val="18"/>
        </w:rPr>
        <w:t xml:space="preserve"> </w:t>
      </w:r>
      <w:r w:rsidR="00E02E90">
        <w:rPr>
          <w:rFonts w:ascii="Times New Roman" w:hAnsi="Times New Roman"/>
          <w:sz w:val="18"/>
          <w:szCs w:val="18"/>
        </w:rPr>
        <w:t xml:space="preserve">Starpposma vērtība 2018.gadam ir </w:t>
      </w:r>
      <w:r w:rsidRPr="00A90C04">
        <w:rPr>
          <w:rFonts w:ascii="Times New Roman" w:hAnsi="Times New Roman"/>
          <w:sz w:val="18"/>
          <w:szCs w:val="18"/>
        </w:rPr>
        <w:t>attiecināmie izdevumi EUR  sertificējošās iestādes uzskaites sistēmā līdz 30.06.2019. sertificētie izdevumi, kas finansējuma saņēmējiem radušies līdz 31.12.2018. Starpposma vērtības noteikšanā nedrīkst iekļaut snieguma rezerves apjomu 6 %, kamēr mērķis nosakāms iekļaujot rezerves apjomu. Nosakot finanšu rādītājus, izmanto kopējo SAM piešķirot attiecināmo finansējumu (EUR). Finanšu rādītāji tiešā veidā ir saistīti ar piešķirto līdzekļu apguvi un norāda uz progresu, kādā tie tiek apgūti.</w:t>
      </w:r>
    </w:p>
  </w:footnote>
  <w:footnote w:id="2">
    <w:p w14:paraId="23BDAC83" w14:textId="77777777" w:rsidR="001C0121" w:rsidRDefault="001C0121" w:rsidP="00F35B72">
      <w:pPr>
        <w:pStyle w:val="FootnoteText"/>
      </w:pPr>
      <w:r>
        <w:rPr>
          <w:rStyle w:val="FootnoteReference"/>
        </w:rPr>
        <w:footnoteRef/>
      </w:r>
      <w:r>
        <w:t xml:space="preserve"> </w:t>
      </w:r>
      <w:r w:rsidRPr="00F35B72">
        <w:rPr>
          <w:rFonts w:ascii="Times New Roman" w:hAnsi="Times New Roman"/>
          <w:sz w:val="18"/>
          <w:szCs w:val="18"/>
        </w:rPr>
        <w:t>Atbilstoš</w:t>
      </w:r>
      <w:r>
        <w:rPr>
          <w:rFonts w:ascii="Times New Roman" w:hAnsi="Times New Roman"/>
          <w:sz w:val="18"/>
          <w:szCs w:val="18"/>
        </w:rPr>
        <w:t>ie</w:t>
      </w:r>
      <w:r w:rsidRPr="00F35B72">
        <w:rPr>
          <w:rFonts w:ascii="Times New Roman" w:hAnsi="Times New Roman"/>
          <w:sz w:val="18"/>
          <w:szCs w:val="18"/>
        </w:rPr>
        <w:t xml:space="preserve"> saimniecisko darbību statistiskā</w:t>
      </w:r>
      <w:r>
        <w:rPr>
          <w:rFonts w:ascii="Times New Roman" w:hAnsi="Times New Roman"/>
          <w:sz w:val="18"/>
          <w:szCs w:val="18"/>
        </w:rPr>
        <w:t>s</w:t>
      </w:r>
      <w:r w:rsidRPr="00F35B72">
        <w:rPr>
          <w:rFonts w:ascii="Times New Roman" w:hAnsi="Times New Roman"/>
          <w:sz w:val="18"/>
          <w:szCs w:val="18"/>
        </w:rPr>
        <w:t xml:space="preserve"> klasifikācija</w:t>
      </w:r>
      <w:r>
        <w:rPr>
          <w:rFonts w:ascii="Times New Roman" w:hAnsi="Times New Roman"/>
          <w:sz w:val="18"/>
          <w:szCs w:val="18"/>
        </w:rPr>
        <w:t>s</w:t>
      </w:r>
      <w:r w:rsidRPr="00F35B72">
        <w:rPr>
          <w:rFonts w:ascii="Times New Roman" w:hAnsi="Times New Roman"/>
          <w:sz w:val="18"/>
          <w:szCs w:val="18"/>
        </w:rPr>
        <w:t xml:space="preserve"> (NACE 2.red.) </w:t>
      </w:r>
      <w:r>
        <w:rPr>
          <w:rFonts w:ascii="Times New Roman" w:hAnsi="Times New Roman"/>
          <w:sz w:val="18"/>
          <w:szCs w:val="18"/>
        </w:rPr>
        <w:t>kodi:</w:t>
      </w:r>
      <w:r w:rsidRPr="00F35B72">
        <w:t xml:space="preserve"> </w:t>
      </w:r>
    </w:p>
    <w:p w14:paraId="3E8FE9A4" w14:textId="77777777" w:rsidR="001C0121" w:rsidRPr="00F35B72" w:rsidRDefault="001C0121" w:rsidP="00F35B72">
      <w:pPr>
        <w:pStyle w:val="FootnoteText"/>
        <w:rPr>
          <w:rFonts w:ascii="Times New Roman" w:hAnsi="Times New Roman"/>
          <w:sz w:val="18"/>
          <w:szCs w:val="18"/>
        </w:rPr>
      </w:pPr>
      <w:r w:rsidRPr="00F35B72">
        <w:rPr>
          <w:rFonts w:ascii="Times New Roman" w:hAnsi="Times New Roman"/>
          <w:sz w:val="18"/>
          <w:szCs w:val="18"/>
        </w:rPr>
        <w:t>(C) Apstrādes rūpniecība</w:t>
      </w:r>
    </w:p>
    <w:p w14:paraId="3203206E" w14:textId="77777777" w:rsidR="001C0121" w:rsidRPr="00F35B72" w:rsidRDefault="001C0121" w:rsidP="00F35B72">
      <w:pPr>
        <w:pStyle w:val="FootnoteText"/>
        <w:rPr>
          <w:rFonts w:ascii="Times New Roman" w:hAnsi="Times New Roman"/>
          <w:sz w:val="18"/>
          <w:szCs w:val="18"/>
        </w:rPr>
      </w:pPr>
      <w:r w:rsidRPr="00F35B72">
        <w:rPr>
          <w:rFonts w:ascii="Times New Roman" w:hAnsi="Times New Roman"/>
          <w:sz w:val="18"/>
          <w:szCs w:val="18"/>
        </w:rPr>
        <w:t>(F) Būvniecība</w:t>
      </w:r>
    </w:p>
    <w:p w14:paraId="3CFFEC5C" w14:textId="77777777" w:rsidR="001C0121" w:rsidRPr="00F35B72" w:rsidRDefault="001C0121" w:rsidP="00F35B72">
      <w:pPr>
        <w:pStyle w:val="FootnoteText"/>
        <w:rPr>
          <w:rFonts w:ascii="Times New Roman" w:hAnsi="Times New Roman"/>
          <w:sz w:val="18"/>
          <w:szCs w:val="18"/>
        </w:rPr>
      </w:pPr>
      <w:r w:rsidRPr="00F35B72">
        <w:rPr>
          <w:rFonts w:ascii="Times New Roman" w:hAnsi="Times New Roman"/>
          <w:sz w:val="18"/>
          <w:szCs w:val="18"/>
        </w:rPr>
        <w:t>(H) Transports un uzglabāšana</w:t>
      </w:r>
    </w:p>
    <w:p w14:paraId="411B5B71" w14:textId="77777777" w:rsidR="001C0121" w:rsidRPr="00F35B72" w:rsidRDefault="001C0121" w:rsidP="00F35B72">
      <w:pPr>
        <w:pStyle w:val="FootnoteText"/>
        <w:rPr>
          <w:rFonts w:ascii="Times New Roman" w:hAnsi="Times New Roman"/>
          <w:sz w:val="18"/>
          <w:szCs w:val="18"/>
        </w:rPr>
      </w:pPr>
      <w:r w:rsidRPr="00F35B72">
        <w:rPr>
          <w:rFonts w:ascii="Times New Roman" w:hAnsi="Times New Roman"/>
          <w:sz w:val="18"/>
          <w:szCs w:val="18"/>
        </w:rPr>
        <w:t>(I) Izmitināšana un ēdināšanas pakalpojumi</w:t>
      </w:r>
    </w:p>
    <w:p w14:paraId="518FC59B" w14:textId="77777777" w:rsidR="001C0121" w:rsidRDefault="001C0121" w:rsidP="00F35B72">
      <w:pPr>
        <w:pStyle w:val="FootnoteText"/>
      </w:pPr>
      <w:r w:rsidRPr="00F35B72">
        <w:rPr>
          <w:rFonts w:ascii="Times New Roman" w:hAnsi="Times New Roman"/>
          <w:sz w:val="18"/>
          <w:szCs w:val="18"/>
        </w:rPr>
        <w:t>(M) Profesionālie, zinātniskie un tehniskie pakalpojumi</w:t>
      </w:r>
    </w:p>
  </w:footnote>
  <w:footnote w:id="3">
    <w:p w14:paraId="139CB70F" w14:textId="77777777" w:rsidR="001C0121" w:rsidRPr="00B668FF" w:rsidRDefault="001C0121">
      <w:pPr>
        <w:pStyle w:val="FootnoteText"/>
        <w:rPr>
          <w:rFonts w:ascii="Times New Roman" w:hAnsi="Times New Roman"/>
          <w:sz w:val="18"/>
          <w:szCs w:val="18"/>
        </w:rPr>
      </w:pPr>
      <w:r>
        <w:rPr>
          <w:rStyle w:val="FootnoteReference"/>
        </w:rPr>
        <w:footnoteRef/>
      </w:r>
      <w:r>
        <w:t xml:space="preserve"> </w:t>
      </w:r>
      <w:r w:rsidRPr="00B668FF">
        <w:rPr>
          <w:rFonts w:ascii="Times New Roman" w:hAnsi="Times New Roman"/>
          <w:sz w:val="18"/>
          <w:szCs w:val="18"/>
        </w:rPr>
        <w:t>Finanšu minis</w:t>
      </w:r>
      <w:r>
        <w:rPr>
          <w:rFonts w:ascii="Times New Roman" w:hAnsi="Times New Roman"/>
          <w:sz w:val="18"/>
          <w:szCs w:val="18"/>
        </w:rPr>
        <w:t>trijas makroekonomiskie pieņēmumi un prognozes:</w:t>
      </w:r>
      <w:r w:rsidRPr="00B668FF">
        <w:rPr>
          <w:rFonts w:ascii="Times New Roman" w:hAnsi="Times New Roman"/>
          <w:sz w:val="18"/>
          <w:szCs w:val="18"/>
        </w:rPr>
        <w:t xml:space="preserve"> http://www.fm.gov.lv/lv/sadalas/ppp/tiesibu_akti/makroekonomiskie_pienemumi_un_prognozes/</w:t>
      </w:r>
    </w:p>
  </w:footnote>
  <w:footnote w:id="4">
    <w:p w14:paraId="7E277590" w14:textId="77777777" w:rsidR="009B6504" w:rsidRPr="009B6504" w:rsidRDefault="009B6504" w:rsidP="009B6504">
      <w:pPr>
        <w:pStyle w:val="FootnoteText"/>
      </w:pPr>
      <w:r>
        <w:rPr>
          <w:rStyle w:val="FootnoteReference"/>
        </w:rPr>
        <w:footnoteRef/>
      </w:r>
      <w:r>
        <w:t xml:space="preserve"> </w:t>
      </w:r>
      <w:r w:rsidRPr="00A90C04">
        <w:rPr>
          <w:rFonts w:ascii="Times New Roman" w:hAnsi="Times New Roman"/>
          <w:sz w:val="18"/>
          <w:szCs w:val="18"/>
        </w:rPr>
        <w:t>Rādītāja definīcija noteikta Eiropas Komisijas vadlīniju “</w:t>
      </w:r>
      <w:proofErr w:type="spellStart"/>
      <w:r w:rsidRPr="00A90C04">
        <w:rPr>
          <w:rFonts w:ascii="Times New Roman" w:hAnsi="Times New Roman"/>
          <w:sz w:val="18"/>
          <w:szCs w:val="18"/>
        </w:rPr>
        <w:t>Guidance</w:t>
      </w:r>
      <w:proofErr w:type="spellEnd"/>
      <w:r w:rsidRPr="00A90C04">
        <w:rPr>
          <w:rFonts w:ascii="Times New Roman" w:hAnsi="Times New Roman"/>
          <w:sz w:val="18"/>
          <w:szCs w:val="18"/>
        </w:rPr>
        <w:t xml:space="preserve"> </w:t>
      </w:r>
      <w:proofErr w:type="spellStart"/>
      <w:r w:rsidRPr="00A90C04">
        <w:rPr>
          <w:rFonts w:ascii="Times New Roman" w:hAnsi="Times New Roman"/>
          <w:sz w:val="18"/>
          <w:szCs w:val="18"/>
        </w:rPr>
        <w:t>document</w:t>
      </w:r>
      <w:proofErr w:type="spellEnd"/>
      <w:r w:rsidRPr="00A90C04">
        <w:rPr>
          <w:rFonts w:ascii="Times New Roman" w:hAnsi="Times New Roman"/>
          <w:sz w:val="18"/>
          <w:szCs w:val="18"/>
        </w:rPr>
        <w:t xml:space="preserve"> </w:t>
      </w:r>
      <w:proofErr w:type="spellStart"/>
      <w:r w:rsidRPr="00A90C04">
        <w:rPr>
          <w:rFonts w:ascii="Times New Roman" w:hAnsi="Times New Roman"/>
          <w:sz w:val="18"/>
          <w:szCs w:val="18"/>
        </w:rPr>
        <w:t>on</w:t>
      </w:r>
      <w:proofErr w:type="spellEnd"/>
      <w:r w:rsidRPr="00A90C04">
        <w:rPr>
          <w:rFonts w:ascii="Times New Roman" w:hAnsi="Times New Roman"/>
          <w:sz w:val="18"/>
          <w:szCs w:val="18"/>
        </w:rPr>
        <w:t xml:space="preserve"> Monitoring </w:t>
      </w:r>
      <w:proofErr w:type="spellStart"/>
      <w:r w:rsidRPr="00A90C04">
        <w:rPr>
          <w:rFonts w:ascii="Times New Roman" w:hAnsi="Times New Roman"/>
          <w:sz w:val="18"/>
          <w:szCs w:val="18"/>
        </w:rPr>
        <w:t>and</w:t>
      </w:r>
      <w:proofErr w:type="spellEnd"/>
      <w:r w:rsidRPr="00A90C04">
        <w:rPr>
          <w:rFonts w:ascii="Times New Roman" w:hAnsi="Times New Roman"/>
          <w:sz w:val="18"/>
          <w:szCs w:val="18"/>
        </w:rPr>
        <w:t xml:space="preserve"> </w:t>
      </w:r>
      <w:proofErr w:type="spellStart"/>
      <w:r w:rsidRPr="00A90C04">
        <w:rPr>
          <w:rFonts w:ascii="Times New Roman" w:hAnsi="Times New Roman"/>
          <w:sz w:val="18"/>
          <w:szCs w:val="18"/>
        </w:rPr>
        <w:t>Evaluation</w:t>
      </w:r>
      <w:proofErr w:type="spellEnd"/>
      <w:r w:rsidRPr="00A90C04">
        <w:rPr>
          <w:rFonts w:ascii="Times New Roman" w:hAnsi="Times New Roman"/>
          <w:sz w:val="18"/>
          <w:szCs w:val="18"/>
        </w:rPr>
        <w:t>” 1.pielikumā; pieejamas  http://ec.europa.eu/regional_policy/sources/docoffic/2014/working/wd_2014_en.pdf</w:t>
      </w:r>
    </w:p>
  </w:footnote>
  <w:footnote w:id="5">
    <w:p w14:paraId="4AD62194" w14:textId="77777777" w:rsidR="009B6504" w:rsidRPr="00A90C04" w:rsidRDefault="009B6504" w:rsidP="009B6504">
      <w:pPr>
        <w:pStyle w:val="FootnoteText"/>
        <w:rPr>
          <w:rFonts w:ascii="Times New Roman" w:hAnsi="Times New Roman"/>
          <w:sz w:val="18"/>
          <w:szCs w:val="18"/>
        </w:rPr>
      </w:pPr>
      <w:r>
        <w:rPr>
          <w:rStyle w:val="FootnoteReference"/>
        </w:rPr>
        <w:footnoteRef/>
      </w:r>
      <w:r>
        <w:t xml:space="preserve"> </w:t>
      </w:r>
      <w:r w:rsidRPr="00A90C04">
        <w:rPr>
          <w:rFonts w:ascii="Times New Roman" w:hAnsi="Times New Roman"/>
          <w:sz w:val="18"/>
          <w:szCs w:val="18"/>
        </w:rPr>
        <w:t>Rādītāja definīcija noteikta Eiropas Komisijas vadlīniju “</w:t>
      </w:r>
      <w:proofErr w:type="spellStart"/>
      <w:r w:rsidRPr="00A90C04">
        <w:rPr>
          <w:rFonts w:ascii="Times New Roman" w:hAnsi="Times New Roman"/>
          <w:sz w:val="18"/>
          <w:szCs w:val="18"/>
        </w:rPr>
        <w:t>Guidance</w:t>
      </w:r>
      <w:proofErr w:type="spellEnd"/>
      <w:r w:rsidRPr="00A90C04">
        <w:rPr>
          <w:rFonts w:ascii="Times New Roman" w:hAnsi="Times New Roman"/>
          <w:sz w:val="18"/>
          <w:szCs w:val="18"/>
        </w:rPr>
        <w:t xml:space="preserve"> </w:t>
      </w:r>
      <w:proofErr w:type="spellStart"/>
      <w:r w:rsidRPr="00A90C04">
        <w:rPr>
          <w:rFonts w:ascii="Times New Roman" w:hAnsi="Times New Roman"/>
          <w:sz w:val="18"/>
          <w:szCs w:val="18"/>
        </w:rPr>
        <w:t>document</w:t>
      </w:r>
      <w:proofErr w:type="spellEnd"/>
      <w:r w:rsidRPr="00A90C04">
        <w:rPr>
          <w:rFonts w:ascii="Times New Roman" w:hAnsi="Times New Roman"/>
          <w:sz w:val="18"/>
          <w:szCs w:val="18"/>
        </w:rPr>
        <w:t xml:space="preserve"> </w:t>
      </w:r>
      <w:proofErr w:type="spellStart"/>
      <w:r w:rsidRPr="00A90C04">
        <w:rPr>
          <w:rFonts w:ascii="Times New Roman" w:hAnsi="Times New Roman"/>
          <w:sz w:val="18"/>
          <w:szCs w:val="18"/>
        </w:rPr>
        <w:t>on</w:t>
      </w:r>
      <w:proofErr w:type="spellEnd"/>
      <w:r w:rsidRPr="00A90C04">
        <w:rPr>
          <w:rFonts w:ascii="Times New Roman" w:hAnsi="Times New Roman"/>
          <w:sz w:val="18"/>
          <w:szCs w:val="18"/>
        </w:rPr>
        <w:t xml:space="preserve"> Monitoring </w:t>
      </w:r>
      <w:proofErr w:type="spellStart"/>
      <w:r w:rsidRPr="00A90C04">
        <w:rPr>
          <w:rFonts w:ascii="Times New Roman" w:hAnsi="Times New Roman"/>
          <w:sz w:val="18"/>
          <w:szCs w:val="18"/>
        </w:rPr>
        <w:t>and</w:t>
      </w:r>
      <w:proofErr w:type="spellEnd"/>
      <w:r w:rsidRPr="00A90C04">
        <w:rPr>
          <w:rFonts w:ascii="Times New Roman" w:hAnsi="Times New Roman"/>
          <w:sz w:val="18"/>
          <w:szCs w:val="18"/>
        </w:rPr>
        <w:t xml:space="preserve"> </w:t>
      </w:r>
      <w:proofErr w:type="spellStart"/>
      <w:r w:rsidRPr="00A90C04">
        <w:rPr>
          <w:rFonts w:ascii="Times New Roman" w:hAnsi="Times New Roman"/>
          <w:sz w:val="18"/>
          <w:szCs w:val="18"/>
        </w:rPr>
        <w:t>Evaluation</w:t>
      </w:r>
      <w:proofErr w:type="spellEnd"/>
      <w:r w:rsidRPr="00A90C04">
        <w:rPr>
          <w:rFonts w:ascii="Times New Roman" w:hAnsi="Times New Roman"/>
          <w:sz w:val="18"/>
          <w:szCs w:val="18"/>
        </w:rPr>
        <w:t>” 1.pielikumā; pieejamas  http://ec.europa.eu/regional_policy/sources/docoffic/2014/working/wd_2014_en.pdf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F21CA"/>
    <w:multiLevelType w:val="hybridMultilevel"/>
    <w:tmpl w:val="227EB7E0"/>
    <w:lvl w:ilvl="0" w:tplc="DE260682">
      <w:start w:val="1"/>
      <w:numFmt w:val="decimal"/>
      <w:lvlText w:val="%1)"/>
      <w:lvlJc w:val="left"/>
      <w:pPr>
        <w:ind w:left="346" w:hanging="360"/>
      </w:pPr>
      <w:rPr>
        <w:rFonts w:hint="default"/>
      </w:rPr>
    </w:lvl>
    <w:lvl w:ilvl="1" w:tplc="04260019" w:tentative="1">
      <w:start w:val="1"/>
      <w:numFmt w:val="lowerLetter"/>
      <w:lvlText w:val="%2."/>
      <w:lvlJc w:val="left"/>
      <w:pPr>
        <w:ind w:left="1066" w:hanging="360"/>
      </w:pPr>
    </w:lvl>
    <w:lvl w:ilvl="2" w:tplc="0426001B" w:tentative="1">
      <w:start w:val="1"/>
      <w:numFmt w:val="lowerRoman"/>
      <w:lvlText w:val="%3."/>
      <w:lvlJc w:val="right"/>
      <w:pPr>
        <w:ind w:left="1786" w:hanging="180"/>
      </w:pPr>
    </w:lvl>
    <w:lvl w:ilvl="3" w:tplc="0426000F" w:tentative="1">
      <w:start w:val="1"/>
      <w:numFmt w:val="decimal"/>
      <w:lvlText w:val="%4."/>
      <w:lvlJc w:val="left"/>
      <w:pPr>
        <w:ind w:left="2506" w:hanging="360"/>
      </w:pPr>
    </w:lvl>
    <w:lvl w:ilvl="4" w:tplc="04260019" w:tentative="1">
      <w:start w:val="1"/>
      <w:numFmt w:val="lowerLetter"/>
      <w:lvlText w:val="%5."/>
      <w:lvlJc w:val="left"/>
      <w:pPr>
        <w:ind w:left="3226" w:hanging="360"/>
      </w:pPr>
    </w:lvl>
    <w:lvl w:ilvl="5" w:tplc="0426001B" w:tentative="1">
      <w:start w:val="1"/>
      <w:numFmt w:val="lowerRoman"/>
      <w:lvlText w:val="%6."/>
      <w:lvlJc w:val="right"/>
      <w:pPr>
        <w:ind w:left="3946" w:hanging="180"/>
      </w:pPr>
    </w:lvl>
    <w:lvl w:ilvl="6" w:tplc="0426000F" w:tentative="1">
      <w:start w:val="1"/>
      <w:numFmt w:val="decimal"/>
      <w:lvlText w:val="%7."/>
      <w:lvlJc w:val="left"/>
      <w:pPr>
        <w:ind w:left="4666" w:hanging="360"/>
      </w:pPr>
    </w:lvl>
    <w:lvl w:ilvl="7" w:tplc="04260019" w:tentative="1">
      <w:start w:val="1"/>
      <w:numFmt w:val="lowerLetter"/>
      <w:lvlText w:val="%8."/>
      <w:lvlJc w:val="left"/>
      <w:pPr>
        <w:ind w:left="5386" w:hanging="360"/>
      </w:pPr>
    </w:lvl>
    <w:lvl w:ilvl="8" w:tplc="0426001B" w:tentative="1">
      <w:start w:val="1"/>
      <w:numFmt w:val="lowerRoman"/>
      <w:lvlText w:val="%9."/>
      <w:lvlJc w:val="right"/>
      <w:pPr>
        <w:ind w:left="6106" w:hanging="180"/>
      </w:pPr>
    </w:lvl>
  </w:abstractNum>
  <w:abstractNum w:abstractNumId="1" w15:restartNumberingAfterBreak="0">
    <w:nsid w:val="1F4564A0"/>
    <w:multiLevelType w:val="hybridMultilevel"/>
    <w:tmpl w:val="337A486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AAA6807"/>
    <w:multiLevelType w:val="hybridMultilevel"/>
    <w:tmpl w:val="227EB7E0"/>
    <w:lvl w:ilvl="0" w:tplc="DE260682">
      <w:start w:val="1"/>
      <w:numFmt w:val="decimal"/>
      <w:lvlText w:val="%1)"/>
      <w:lvlJc w:val="left"/>
      <w:pPr>
        <w:ind w:left="346" w:hanging="360"/>
      </w:pPr>
      <w:rPr>
        <w:rFonts w:hint="default"/>
      </w:rPr>
    </w:lvl>
    <w:lvl w:ilvl="1" w:tplc="04260019" w:tentative="1">
      <w:start w:val="1"/>
      <w:numFmt w:val="lowerLetter"/>
      <w:lvlText w:val="%2."/>
      <w:lvlJc w:val="left"/>
      <w:pPr>
        <w:ind w:left="1066" w:hanging="360"/>
      </w:pPr>
    </w:lvl>
    <w:lvl w:ilvl="2" w:tplc="0426001B" w:tentative="1">
      <w:start w:val="1"/>
      <w:numFmt w:val="lowerRoman"/>
      <w:lvlText w:val="%3."/>
      <w:lvlJc w:val="right"/>
      <w:pPr>
        <w:ind w:left="1786" w:hanging="180"/>
      </w:pPr>
    </w:lvl>
    <w:lvl w:ilvl="3" w:tplc="0426000F" w:tentative="1">
      <w:start w:val="1"/>
      <w:numFmt w:val="decimal"/>
      <w:lvlText w:val="%4."/>
      <w:lvlJc w:val="left"/>
      <w:pPr>
        <w:ind w:left="2506" w:hanging="360"/>
      </w:pPr>
    </w:lvl>
    <w:lvl w:ilvl="4" w:tplc="04260019" w:tentative="1">
      <w:start w:val="1"/>
      <w:numFmt w:val="lowerLetter"/>
      <w:lvlText w:val="%5."/>
      <w:lvlJc w:val="left"/>
      <w:pPr>
        <w:ind w:left="3226" w:hanging="360"/>
      </w:pPr>
    </w:lvl>
    <w:lvl w:ilvl="5" w:tplc="0426001B" w:tentative="1">
      <w:start w:val="1"/>
      <w:numFmt w:val="lowerRoman"/>
      <w:lvlText w:val="%6."/>
      <w:lvlJc w:val="right"/>
      <w:pPr>
        <w:ind w:left="3946" w:hanging="180"/>
      </w:pPr>
    </w:lvl>
    <w:lvl w:ilvl="6" w:tplc="0426000F" w:tentative="1">
      <w:start w:val="1"/>
      <w:numFmt w:val="decimal"/>
      <w:lvlText w:val="%7."/>
      <w:lvlJc w:val="left"/>
      <w:pPr>
        <w:ind w:left="4666" w:hanging="360"/>
      </w:pPr>
    </w:lvl>
    <w:lvl w:ilvl="7" w:tplc="04260019" w:tentative="1">
      <w:start w:val="1"/>
      <w:numFmt w:val="lowerLetter"/>
      <w:lvlText w:val="%8."/>
      <w:lvlJc w:val="left"/>
      <w:pPr>
        <w:ind w:left="5386" w:hanging="360"/>
      </w:pPr>
    </w:lvl>
    <w:lvl w:ilvl="8" w:tplc="0426001B" w:tentative="1">
      <w:start w:val="1"/>
      <w:numFmt w:val="lowerRoman"/>
      <w:lvlText w:val="%9."/>
      <w:lvlJc w:val="right"/>
      <w:pPr>
        <w:ind w:left="6106" w:hanging="180"/>
      </w:pPr>
    </w:lvl>
  </w:abstractNum>
  <w:abstractNum w:abstractNumId="3" w15:restartNumberingAfterBreak="0">
    <w:nsid w:val="2E856E5D"/>
    <w:multiLevelType w:val="hybridMultilevel"/>
    <w:tmpl w:val="227EB7E0"/>
    <w:lvl w:ilvl="0" w:tplc="DE260682">
      <w:start w:val="1"/>
      <w:numFmt w:val="decimal"/>
      <w:lvlText w:val="%1)"/>
      <w:lvlJc w:val="left"/>
      <w:pPr>
        <w:ind w:left="346" w:hanging="360"/>
      </w:pPr>
      <w:rPr>
        <w:rFonts w:hint="default"/>
      </w:rPr>
    </w:lvl>
    <w:lvl w:ilvl="1" w:tplc="04260019" w:tentative="1">
      <w:start w:val="1"/>
      <w:numFmt w:val="lowerLetter"/>
      <w:lvlText w:val="%2."/>
      <w:lvlJc w:val="left"/>
      <w:pPr>
        <w:ind w:left="1066" w:hanging="360"/>
      </w:pPr>
    </w:lvl>
    <w:lvl w:ilvl="2" w:tplc="0426001B" w:tentative="1">
      <w:start w:val="1"/>
      <w:numFmt w:val="lowerRoman"/>
      <w:lvlText w:val="%3."/>
      <w:lvlJc w:val="right"/>
      <w:pPr>
        <w:ind w:left="1786" w:hanging="180"/>
      </w:pPr>
    </w:lvl>
    <w:lvl w:ilvl="3" w:tplc="0426000F" w:tentative="1">
      <w:start w:val="1"/>
      <w:numFmt w:val="decimal"/>
      <w:lvlText w:val="%4."/>
      <w:lvlJc w:val="left"/>
      <w:pPr>
        <w:ind w:left="2506" w:hanging="360"/>
      </w:pPr>
    </w:lvl>
    <w:lvl w:ilvl="4" w:tplc="04260019" w:tentative="1">
      <w:start w:val="1"/>
      <w:numFmt w:val="lowerLetter"/>
      <w:lvlText w:val="%5."/>
      <w:lvlJc w:val="left"/>
      <w:pPr>
        <w:ind w:left="3226" w:hanging="360"/>
      </w:pPr>
    </w:lvl>
    <w:lvl w:ilvl="5" w:tplc="0426001B" w:tentative="1">
      <w:start w:val="1"/>
      <w:numFmt w:val="lowerRoman"/>
      <w:lvlText w:val="%6."/>
      <w:lvlJc w:val="right"/>
      <w:pPr>
        <w:ind w:left="3946" w:hanging="180"/>
      </w:pPr>
    </w:lvl>
    <w:lvl w:ilvl="6" w:tplc="0426000F" w:tentative="1">
      <w:start w:val="1"/>
      <w:numFmt w:val="decimal"/>
      <w:lvlText w:val="%7."/>
      <w:lvlJc w:val="left"/>
      <w:pPr>
        <w:ind w:left="4666" w:hanging="360"/>
      </w:pPr>
    </w:lvl>
    <w:lvl w:ilvl="7" w:tplc="04260019" w:tentative="1">
      <w:start w:val="1"/>
      <w:numFmt w:val="lowerLetter"/>
      <w:lvlText w:val="%8."/>
      <w:lvlJc w:val="left"/>
      <w:pPr>
        <w:ind w:left="5386" w:hanging="360"/>
      </w:pPr>
    </w:lvl>
    <w:lvl w:ilvl="8" w:tplc="0426001B" w:tentative="1">
      <w:start w:val="1"/>
      <w:numFmt w:val="lowerRoman"/>
      <w:lvlText w:val="%9."/>
      <w:lvlJc w:val="right"/>
      <w:pPr>
        <w:ind w:left="6106" w:hanging="180"/>
      </w:pPr>
    </w:lvl>
  </w:abstractNum>
  <w:abstractNum w:abstractNumId="4" w15:restartNumberingAfterBreak="0">
    <w:nsid w:val="5A971888"/>
    <w:multiLevelType w:val="hybridMultilevel"/>
    <w:tmpl w:val="AA18C7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9A7"/>
    <w:rsid w:val="000104EE"/>
    <w:rsid w:val="0002186B"/>
    <w:rsid w:val="00022CFA"/>
    <w:rsid w:val="00033080"/>
    <w:rsid w:val="00046AAC"/>
    <w:rsid w:val="00047169"/>
    <w:rsid w:val="00050356"/>
    <w:rsid w:val="00053763"/>
    <w:rsid w:val="00060A77"/>
    <w:rsid w:val="00066AB8"/>
    <w:rsid w:val="00072BC6"/>
    <w:rsid w:val="00072D56"/>
    <w:rsid w:val="00097AC9"/>
    <w:rsid w:val="000A50FC"/>
    <w:rsid w:val="000A7A56"/>
    <w:rsid w:val="000B411B"/>
    <w:rsid w:val="000B4FED"/>
    <w:rsid w:val="000D111F"/>
    <w:rsid w:val="000D4325"/>
    <w:rsid w:val="000E5F42"/>
    <w:rsid w:val="000F4FDA"/>
    <w:rsid w:val="00100DBA"/>
    <w:rsid w:val="001044E6"/>
    <w:rsid w:val="0011667B"/>
    <w:rsid w:val="00117F9A"/>
    <w:rsid w:val="001217CD"/>
    <w:rsid w:val="00121931"/>
    <w:rsid w:val="00122A32"/>
    <w:rsid w:val="00136840"/>
    <w:rsid w:val="00140630"/>
    <w:rsid w:val="00147255"/>
    <w:rsid w:val="0015030A"/>
    <w:rsid w:val="001572DA"/>
    <w:rsid w:val="00162577"/>
    <w:rsid w:val="00173B70"/>
    <w:rsid w:val="00173C44"/>
    <w:rsid w:val="00173DED"/>
    <w:rsid w:val="001845FA"/>
    <w:rsid w:val="00187D4A"/>
    <w:rsid w:val="001C0121"/>
    <w:rsid w:val="001D7F93"/>
    <w:rsid w:val="001E7B78"/>
    <w:rsid w:val="001F0C54"/>
    <w:rsid w:val="001F176E"/>
    <w:rsid w:val="001F61EB"/>
    <w:rsid w:val="00212287"/>
    <w:rsid w:val="00234C05"/>
    <w:rsid w:val="002439F8"/>
    <w:rsid w:val="002512B8"/>
    <w:rsid w:val="0025656C"/>
    <w:rsid w:val="002740BF"/>
    <w:rsid w:val="002A68EA"/>
    <w:rsid w:val="0030062A"/>
    <w:rsid w:val="00303B95"/>
    <w:rsid w:val="003137E7"/>
    <w:rsid w:val="003144CE"/>
    <w:rsid w:val="00314AB2"/>
    <w:rsid w:val="003169D2"/>
    <w:rsid w:val="00343556"/>
    <w:rsid w:val="003448ED"/>
    <w:rsid w:val="00344C6D"/>
    <w:rsid w:val="00345018"/>
    <w:rsid w:val="00361C50"/>
    <w:rsid w:val="00367051"/>
    <w:rsid w:val="00367285"/>
    <w:rsid w:val="003915DA"/>
    <w:rsid w:val="00391A97"/>
    <w:rsid w:val="003E36E4"/>
    <w:rsid w:val="003E783B"/>
    <w:rsid w:val="003F1092"/>
    <w:rsid w:val="00404825"/>
    <w:rsid w:val="00405E44"/>
    <w:rsid w:val="004067BE"/>
    <w:rsid w:val="0041227F"/>
    <w:rsid w:val="00412BD4"/>
    <w:rsid w:val="004364E5"/>
    <w:rsid w:val="0044283E"/>
    <w:rsid w:val="004434C4"/>
    <w:rsid w:val="0046008C"/>
    <w:rsid w:val="0046257D"/>
    <w:rsid w:val="0048723B"/>
    <w:rsid w:val="00490990"/>
    <w:rsid w:val="004A0FA1"/>
    <w:rsid w:val="004A6A35"/>
    <w:rsid w:val="004A6DE7"/>
    <w:rsid w:val="004B11EE"/>
    <w:rsid w:val="004B66D8"/>
    <w:rsid w:val="004C0C13"/>
    <w:rsid w:val="004C1F54"/>
    <w:rsid w:val="004D3C6D"/>
    <w:rsid w:val="004D57BE"/>
    <w:rsid w:val="004E121C"/>
    <w:rsid w:val="004E4429"/>
    <w:rsid w:val="004F6882"/>
    <w:rsid w:val="00504D47"/>
    <w:rsid w:val="00507725"/>
    <w:rsid w:val="00511FF7"/>
    <w:rsid w:val="00512928"/>
    <w:rsid w:val="00526F8A"/>
    <w:rsid w:val="00534CF0"/>
    <w:rsid w:val="00547D9D"/>
    <w:rsid w:val="00555301"/>
    <w:rsid w:val="005623CF"/>
    <w:rsid w:val="00563264"/>
    <w:rsid w:val="005B3271"/>
    <w:rsid w:val="005C3018"/>
    <w:rsid w:val="005E5F3C"/>
    <w:rsid w:val="005F13EC"/>
    <w:rsid w:val="005F4742"/>
    <w:rsid w:val="005F615E"/>
    <w:rsid w:val="005F7AD8"/>
    <w:rsid w:val="00605204"/>
    <w:rsid w:val="00614AC4"/>
    <w:rsid w:val="006165FF"/>
    <w:rsid w:val="00622E81"/>
    <w:rsid w:val="006259BE"/>
    <w:rsid w:val="00634ED1"/>
    <w:rsid w:val="0064467C"/>
    <w:rsid w:val="006446A8"/>
    <w:rsid w:val="00645734"/>
    <w:rsid w:val="006472B8"/>
    <w:rsid w:val="0067111F"/>
    <w:rsid w:val="006752AC"/>
    <w:rsid w:val="00680FC4"/>
    <w:rsid w:val="0069090F"/>
    <w:rsid w:val="006B41E4"/>
    <w:rsid w:val="006B5BA6"/>
    <w:rsid w:val="006B70FC"/>
    <w:rsid w:val="006E5C64"/>
    <w:rsid w:val="006E7F5B"/>
    <w:rsid w:val="006F582F"/>
    <w:rsid w:val="007128EE"/>
    <w:rsid w:val="007130FC"/>
    <w:rsid w:val="007144AD"/>
    <w:rsid w:val="00724167"/>
    <w:rsid w:val="00724808"/>
    <w:rsid w:val="00727768"/>
    <w:rsid w:val="007310C6"/>
    <w:rsid w:val="007419A8"/>
    <w:rsid w:val="00741D2C"/>
    <w:rsid w:val="00746CF3"/>
    <w:rsid w:val="00753B39"/>
    <w:rsid w:val="0076127B"/>
    <w:rsid w:val="00775272"/>
    <w:rsid w:val="007A1988"/>
    <w:rsid w:val="007B6FD7"/>
    <w:rsid w:val="007C2325"/>
    <w:rsid w:val="007C62F0"/>
    <w:rsid w:val="007E1B04"/>
    <w:rsid w:val="007E49A5"/>
    <w:rsid w:val="007F7CAC"/>
    <w:rsid w:val="0082274E"/>
    <w:rsid w:val="0084618B"/>
    <w:rsid w:val="00852CEA"/>
    <w:rsid w:val="0086307E"/>
    <w:rsid w:val="00867F39"/>
    <w:rsid w:val="008801CE"/>
    <w:rsid w:val="008811CC"/>
    <w:rsid w:val="008A10E5"/>
    <w:rsid w:val="008D64FF"/>
    <w:rsid w:val="008D7853"/>
    <w:rsid w:val="00914629"/>
    <w:rsid w:val="00915A31"/>
    <w:rsid w:val="00921593"/>
    <w:rsid w:val="0092637A"/>
    <w:rsid w:val="009319B0"/>
    <w:rsid w:val="00956CFF"/>
    <w:rsid w:val="00967CA6"/>
    <w:rsid w:val="00971060"/>
    <w:rsid w:val="00987415"/>
    <w:rsid w:val="009A69A9"/>
    <w:rsid w:val="009B4F9B"/>
    <w:rsid w:val="009B6504"/>
    <w:rsid w:val="009D3448"/>
    <w:rsid w:val="009F306D"/>
    <w:rsid w:val="00A000F7"/>
    <w:rsid w:val="00A116DF"/>
    <w:rsid w:val="00A31609"/>
    <w:rsid w:val="00A50BEB"/>
    <w:rsid w:val="00A56C39"/>
    <w:rsid w:val="00A72AAF"/>
    <w:rsid w:val="00A87929"/>
    <w:rsid w:val="00A90C04"/>
    <w:rsid w:val="00AA6ACD"/>
    <w:rsid w:val="00AB1A31"/>
    <w:rsid w:val="00AB4AAF"/>
    <w:rsid w:val="00AB50F5"/>
    <w:rsid w:val="00AC4846"/>
    <w:rsid w:val="00AC5E14"/>
    <w:rsid w:val="00AE59A9"/>
    <w:rsid w:val="00AF7DB9"/>
    <w:rsid w:val="00B052C8"/>
    <w:rsid w:val="00B22B28"/>
    <w:rsid w:val="00B26314"/>
    <w:rsid w:val="00B26C99"/>
    <w:rsid w:val="00B27285"/>
    <w:rsid w:val="00B35FFE"/>
    <w:rsid w:val="00B40046"/>
    <w:rsid w:val="00B53595"/>
    <w:rsid w:val="00B626B5"/>
    <w:rsid w:val="00B668FF"/>
    <w:rsid w:val="00B92B79"/>
    <w:rsid w:val="00B93139"/>
    <w:rsid w:val="00BA2F4E"/>
    <w:rsid w:val="00BA755F"/>
    <w:rsid w:val="00BB4529"/>
    <w:rsid w:val="00BC1473"/>
    <w:rsid w:val="00BC69E2"/>
    <w:rsid w:val="00BD351F"/>
    <w:rsid w:val="00BD472C"/>
    <w:rsid w:val="00BF3E2A"/>
    <w:rsid w:val="00C03A90"/>
    <w:rsid w:val="00C03E69"/>
    <w:rsid w:val="00C109A7"/>
    <w:rsid w:val="00C11413"/>
    <w:rsid w:val="00C17255"/>
    <w:rsid w:val="00C22733"/>
    <w:rsid w:val="00C24E0F"/>
    <w:rsid w:val="00C361C3"/>
    <w:rsid w:val="00C60719"/>
    <w:rsid w:val="00C667A4"/>
    <w:rsid w:val="00C74D5D"/>
    <w:rsid w:val="00C74DEA"/>
    <w:rsid w:val="00C7518F"/>
    <w:rsid w:val="00C7525C"/>
    <w:rsid w:val="00C75FE1"/>
    <w:rsid w:val="00CA3D2F"/>
    <w:rsid w:val="00CB437B"/>
    <w:rsid w:val="00CC5A95"/>
    <w:rsid w:val="00CD491D"/>
    <w:rsid w:val="00CE7858"/>
    <w:rsid w:val="00CF4FFC"/>
    <w:rsid w:val="00D074ED"/>
    <w:rsid w:val="00D10085"/>
    <w:rsid w:val="00D261B9"/>
    <w:rsid w:val="00D323DD"/>
    <w:rsid w:val="00D358DC"/>
    <w:rsid w:val="00D4122A"/>
    <w:rsid w:val="00D66EC0"/>
    <w:rsid w:val="00D70A74"/>
    <w:rsid w:val="00D718F3"/>
    <w:rsid w:val="00D81EF8"/>
    <w:rsid w:val="00D823EE"/>
    <w:rsid w:val="00D833D5"/>
    <w:rsid w:val="00D843B3"/>
    <w:rsid w:val="00DA274C"/>
    <w:rsid w:val="00DB6011"/>
    <w:rsid w:val="00DC3879"/>
    <w:rsid w:val="00DC680D"/>
    <w:rsid w:val="00DD1B2D"/>
    <w:rsid w:val="00DE435B"/>
    <w:rsid w:val="00DE7BF0"/>
    <w:rsid w:val="00DF131C"/>
    <w:rsid w:val="00DF2F48"/>
    <w:rsid w:val="00E02E90"/>
    <w:rsid w:val="00E03820"/>
    <w:rsid w:val="00E044DA"/>
    <w:rsid w:val="00E176AA"/>
    <w:rsid w:val="00E4290C"/>
    <w:rsid w:val="00E44AD7"/>
    <w:rsid w:val="00E52261"/>
    <w:rsid w:val="00E56FC7"/>
    <w:rsid w:val="00E615F6"/>
    <w:rsid w:val="00E751B9"/>
    <w:rsid w:val="00E75B03"/>
    <w:rsid w:val="00E77ADD"/>
    <w:rsid w:val="00E81D18"/>
    <w:rsid w:val="00EA74B8"/>
    <w:rsid w:val="00EB1A53"/>
    <w:rsid w:val="00EB406C"/>
    <w:rsid w:val="00EB518A"/>
    <w:rsid w:val="00EC278D"/>
    <w:rsid w:val="00EC2CF9"/>
    <w:rsid w:val="00EC575E"/>
    <w:rsid w:val="00ED4C60"/>
    <w:rsid w:val="00EE0978"/>
    <w:rsid w:val="00EE6E39"/>
    <w:rsid w:val="00EF1255"/>
    <w:rsid w:val="00EF5692"/>
    <w:rsid w:val="00F043F1"/>
    <w:rsid w:val="00F0455F"/>
    <w:rsid w:val="00F114B2"/>
    <w:rsid w:val="00F17EBF"/>
    <w:rsid w:val="00F31B5F"/>
    <w:rsid w:val="00F35B72"/>
    <w:rsid w:val="00F50562"/>
    <w:rsid w:val="00F57174"/>
    <w:rsid w:val="00F616F7"/>
    <w:rsid w:val="00F67FFA"/>
    <w:rsid w:val="00F719CF"/>
    <w:rsid w:val="00F8461A"/>
    <w:rsid w:val="00F87B33"/>
    <w:rsid w:val="00F92A2A"/>
    <w:rsid w:val="00FC2207"/>
    <w:rsid w:val="00FC220E"/>
    <w:rsid w:val="00FD4C78"/>
    <w:rsid w:val="00FD57C7"/>
    <w:rsid w:val="00FF732F"/>
    <w:rsid w:val="00FF74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537D4"/>
  <w15:docId w15:val="{C3DB3BA6-DF18-430D-A2AD-528B20F5C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4FED"/>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paragraph" w:customStyle="1" w:styleId="Normal1">
    <w:name w:val="Normal1"/>
    <w:uiPriority w:val="99"/>
    <w:rsid w:val="00490990"/>
    <w:rPr>
      <w:rFonts w:ascii="Calibri" w:eastAsia="Times New Roman" w:hAnsi="Calibri" w:cs="Calibri"/>
      <w:color w:val="000000"/>
      <w:sz w:val="22"/>
      <w:lang w:eastAsia="lv-LV"/>
    </w:rPr>
  </w:style>
  <w:style w:type="paragraph" w:styleId="ListParagraph">
    <w:name w:val="List Paragraph"/>
    <w:basedOn w:val="Normal"/>
    <w:uiPriority w:val="34"/>
    <w:qFormat/>
    <w:rsid w:val="002740BF"/>
    <w:pPr>
      <w:ind w:left="720"/>
      <w:contextualSpacing/>
    </w:pPr>
  </w:style>
  <w:style w:type="character" w:styleId="CommentReference">
    <w:name w:val="annotation reference"/>
    <w:basedOn w:val="DefaultParagraphFont"/>
    <w:uiPriority w:val="99"/>
    <w:semiHidden/>
    <w:unhideWhenUsed/>
    <w:rsid w:val="00F043F1"/>
    <w:rPr>
      <w:sz w:val="16"/>
      <w:szCs w:val="16"/>
    </w:rPr>
  </w:style>
  <w:style w:type="paragraph" w:styleId="CommentText">
    <w:name w:val="annotation text"/>
    <w:basedOn w:val="Normal"/>
    <w:link w:val="CommentTextChar"/>
    <w:uiPriority w:val="99"/>
    <w:unhideWhenUsed/>
    <w:rsid w:val="00F043F1"/>
    <w:pPr>
      <w:spacing w:line="240" w:lineRule="auto"/>
    </w:pPr>
    <w:rPr>
      <w:sz w:val="20"/>
      <w:szCs w:val="20"/>
    </w:rPr>
  </w:style>
  <w:style w:type="character" w:customStyle="1" w:styleId="CommentTextChar">
    <w:name w:val="Comment Text Char"/>
    <w:basedOn w:val="DefaultParagraphFont"/>
    <w:link w:val="CommentText"/>
    <w:uiPriority w:val="99"/>
    <w:rsid w:val="00F043F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043F1"/>
    <w:rPr>
      <w:b/>
      <w:bCs/>
    </w:rPr>
  </w:style>
  <w:style w:type="character" w:customStyle="1" w:styleId="CommentSubjectChar">
    <w:name w:val="Comment Subject Char"/>
    <w:basedOn w:val="CommentTextChar"/>
    <w:link w:val="CommentSubject"/>
    <w:uiPriority w:val="99"/>
    <w:semiHidden/>
    <w:rsid w:val="00F043F1"/>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65202">
      <w:bodyDiv w:val="1"/>
      <w:marLeft w:val="0"/>
      <w:marRight w:val="0"/>
      <w:marTop w:val="0"/>
      <w:marBottom w:val="0"/>
      <w:divBdr>
        <w:top w:val="none" w:sz="0" w:space="0" w:color="auto"/>
        <w:left w:val="none" w:sz="0" w:space="0" w:color="auto"/>
        <w:bottom w:val="none" w:sz="0" w:space="0" w:color="auto"/>
        <w:right w:val="none" w:sz="0" w:space="0" w:color="auto"/>
      </w:divBdr>
    </w:div>
    <w:div w:id="63184686">
      <w:bodyDiv w:val="1"/>
      <w:marLeft w:val="0"/>
      <w:marRight w:val="0"/>
      <w:marTop w:val="0"/>
      <w:marBottom w:val="0"/>
      <w:divBdr>
        <w:top w:val="none" w:sz="0" w:space="0" w:color="auto"/>
        <w:left w:val="none" w:sz="0" w:space="0" w:color="auto"/>
        <w:bottom w:val="none" w:sz="0" w:space="0" w:color="auto"/>
        <w:right w:val="none" w:sz="0" w:space="0" w:color="auto"/>
      </w:divBdr>
    </w:div>
    <w:div w:id="80567863">
      <w:bodyDiv w:val="1"/>
      <w:marLeft w:val="0"/>
      <w:marRight w:val="0"/>
      <w:marTop w:val="0"/>
      <w:marBottom w:val="0"/>
      <w:divBdr>
        <w:top w:val="none" w:sz="0" w:space="0" w:color="auto"/>
        <w:left w:val="none" w:sz="0" w:space="0" w:color="auto"/>
        <w:bottom w:val="none" w:sz="0" w:space="0" w:color="auto"/>
        <w:right w:val="none" w:sz="0" w:space="0" w:color="auto"/>
      </w:divBdr>
    </w:div>
    <w:div w:id="119417830">
      <w:bodyDiv w:val="1"/>
      <w:marLeft w:val="0"/>
      <w:marRight w:val="0"/>
      <w:marTop w:val="0"/>
      <w:marBottom w:val="0"/>
      <w:divBdr>
        <w:top w:val="none" w:sz="0" w:space="0" w:color="auto"/>
        <w:left w:val="none" w:sz="0" w:space="0" w:color="auto"/>
        <w:bottom w:val="none" w:sz="0" w:space="0" w:color="auto"/>
        <w:right w:val="none" w:sz="0" w:space="0" w:color="auto"/>
      </w:divBdr>
      <w:divsChild>
        <w:div w:id="664090052">
          <w:marLeft w:val="0"/>
          <w:marRight w:val="0"/>
          <w:marTop w:val="0"/>
          <w:marBottom w:val="0"/>
          <w:divBdr>
            <w:top w:val="none" w:sz="0" w:space="0" w:color="auto"/>
            <w:left w:val="none" w:sz="0" w:space="0" w:color="auto"/>
            <w:bottom w:val="none" w:sz="0" w:space="0" w:color="auto"/>
            <w:right w:val="none" w:sz="0" w:space="0" w:color="auto"/>
          </w:divBdr>
          <w:divsChild>
            <w:div w:id="1851026551">
              <w:marLeft w:val="0"/>
              <w:marRight w:val="0"/>
              <w:marTop w:val="0"/>
              <w:marBottom w:val="0"/>
              <w:divBdr>
                <w:top w:val="none" w:sz="0" w:space="0" w:color="auto"/>
                <w:left w:val="none" w:sz="0" w:space="0" w:color="auto"/>
                <w:bottom w:val="none" w:sz="0" w:space="0" w:color="auto"/>
                <w:right w:val="none" w:sz="0" w:space="0" w:color="auto"/>
              </w:divBdr>
            </w:div>
          </w:divsChild>
        </w:div>
        <w:div w:id="1433164910">
          <w:marLeft w:val="0"/>
          <w:marRight w:val="0"/>
          <w:marTop w:val="0"/>
          <w:marBottom w:val="0"/>
          <w:divBdr>
            <w:top w:val="none" w:sz="0" w:space="0" w:color="auto"/>
            <w:left w:val="none" w:sz="0" w:space="0" w:color="auto"/>
            <w:bottom w:val="none" w:sz="0" w:space="0" w:color="auto"/>
            <w:right w:val="none" w:sz="0" w:space="0" w:color="auto"/>
          </w:divBdr>
          <w:divsChild>
            <w:div w:id="115136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0485">
      <w:bodyDiv w:val="1"/>
      <w:marLeft w:val="0"/>
      <w:marRight w:val="0"/>
      <w:marTop w:val="0"/>
      <w:marBottom w:val="0"/>
      <w:divBdr>
        <w:top w:val="none" w:sz="0" w:space="0" w:color="auto"/>
        <w:left w:val="none" w:sz="0" w:space="0" w:color="auto"/>
        <w:bottom w:val="none" w:sz="0" w:space="0" w:color="auto"/>
        <w:right w:val="none" w:sz="0" w:space="0" w:color="auto"/>
      </w:divBdr>
    </w:div>
    <w:div w:id="259067494">
      <w:bodyDiv w:val="1"/>
      <w:marLeft w:val="0"/>
      <w:marRight w:val="0"/>
      <w:marTop w:val="0"/>
      <w:marBottom w:val="0"/>
      <w:divBdr>
        <w:top w:val="none" w:sz="0" w:space="0" w:color="auto"/>
        <w:left w:val="none" w:sz="0" w:space="0" w:color="auto"/>
        <w:bottom w:val="none" w:sz="0" w:space="0" w:color="auto"/>
        <w:right w:val="none" w:sz="0" w:space="0" w:color="auto"/>
      </w:divBdr>
    </w:div>
    <w:div w:id="315572451">
      <w:bodyDiv w:val="1"/>
      <w:marLeft w:val="0"/>
      <w:marRight w:val="0"/>
      <w:marTop w:val="0"/>
      <w:marBottom w:val="0"/>
      <w:divBdr>
        <w:top w:val="none" w:sz="0" w:space="0" w:color="auto"/>
        <w:left w:val="none" w:sz="0" w:space="0" w:color="auto"/>
        <w:bottom w:val="none" w:sz="0" w:space="0" w:color="auto"/>
        <w:right w:val="none" w:sz="0" w:space="0" w:color="auto"/>
      </w:divBdr>
    </w:div>
    <w:div w:id="341208760">
      <w:bodyDiv w:val="1"/>
      <w:marLeft w:val="0"/>
      <w:marRight w:val="0"/>
      <w:marTop w:val="0"/>
      <w:marBottom w:val="0"/>
      <w:divBdr>
        <w:top w:val="none" w:sz="0" w:space="0" w:color="auto"/>
        <w:left w:val="none" w:sz="0" w:space="0" w:color="auto"/>
        <w:bottom w:val="none" w:sz="0" w:space="0" w:color="auto"/>
        <w:right w:val="none" w:sz="0" w:space="0" w:color="auto"/>
      </w:divBdr>
    </w:div>
    <w:div w:id="373358932">
      <w:bodyDiv w:val="1"/>
      <w:marLeft w:val="0"/>
      <w:marRight w:val="0"/>
      <w:marTop w:val="0"/>
      <w:marBottom w:val="0"/>
      <w:divBdr>
        <w:top w:val="none" w:sz="0" w:space="0" w:color="auto"/>
        <w:left w:val="none" w:sz="0" w:space="0" w:color="auto"/>
        <w:bottom w:val="none" w:sz="0" w:space="0" w:color="auto"/>
        <w:right w:val="none" w:sz="0" w:space="0" w:color="auto"/>
      </w:divBdr>
    </w:div>
    <w:div w:id="386413695">
      <w:bodyDiv w:val="1"/>
      <w:marLeft w:val="0"/>
      <w:marRight w:val="0"/>
      <w:marTop w:val="0"/>
      <w:marBottom w:val="0"/>
      <w:divBdr>
        <w:top w:val="none" w:sz="0" w:space="0" w:color="auto"/>
        <w:left w:val="none" w:sz="0" w:space="0" w:color="auto"/>
        <w:bottom w:val="none" w:sz="0" w:space="0" w:color="auto"/>
        <w:right w:val="none" w:sz="0" w:space="0" w:color="auto"/>
      </w:divBdr>
    </w:div>
    <w:div w:id="427390881">
      <w:bodyDiv w:val="1"/>
      <w:marLeft w:val="0"/>
      <w:marRight w:val="0"/>
      <w:marTop w:val="0"/>
      <w:marBottom w:val="0"/>
      <w:divBdr>
        <w:top w:val="none" w:sz="0" w:space="0" w:color="auto"/>
        <w:left w:val="none" w:sz="0" w:space="0" w:color="auto"/>
        <w:bottom w:val="none" w:sz="0" w:space="0" w:color="auto"/>
        <w:right w:val="none" w:sz="0" w:space="0" w:color="auto"/>
      </w:divBdr>
    </w:div>
    <w:div w:id="434786151">
      <w:bodyDiv w:val="1"/>
      <w:marLeft w:val="0"/>
      <w:marRight w:val="0"/>
      <w:marTop w:val="0"/>
      <w:marBottom w:val="0"/>
      <w:divBdr>
        <w:top w:val="none" w:sz="0" w:space="0" w:color="auto"/>
        <w:left w:val="none" w:sz="0" w:space="0" w:color="auto"/>
        <w:bottom w:val="none" w:sz="0" w:space="0" w:color="auto"/>
        <w:right w:val="none" w:sz="0" w:space="0" w:color="auto"/>
      </w:divBdr>
    </w:div>
    <w:div w:id="480922719">
      <w:bodyDiv w:val="1"/>
      <w:marLeft w:val="0"/>
      <w:marRight w:val="0"/>
      <w:marTop w:val="0"/>
      <w:marBottom w:val="0"/>
      <w:divBdr>
        <w:top w:val="none" w:sz="0" w:space="0" w:color="auto"/>
        <w:left w:val="none" w:sz="0" w:space="0" w:color="auto"/>
        <w:bottom w:val="none" w:sz="0" w:space="0" w:color="auto"/>
        <w:right w:val="none" w:sz="0" w:space="0" w:color="auto"/>
      </w:divBdr>
    </w:div>
    <w:div w:id="601686087">
      <w:bodyDiv w:val="1"/>
      <w:marLeft w:val="0"/>
      <w:marRight w:val="0"/>
      <w:marTop w:val="0"/>
      <w:marBottom w:val="0"/>
      <w:divBdr>
        <w:top w:val="none" w:sz="0" w:space="0" w:color="auto"/>
        <w:left w:val="none" w:sz="0" w:space="0" w:color="auto"/>
        <w:bottom w:val="none" w:sz="0" w:space="0" w:color="auto"/>
        <w:right w:val="none" w:sz="0" w:space="0" w:color="auto"/>
      </w:divBdr>
    </w:div>
    <w:div w:id="611135789">
      <w:bodyDiv w:val="1"/>
      <w:marLeft w:val="0"/>
      <w:marRight w:val="0"/>
      <w:marTop w:val="0"/>
      <w:marBottom w:val="0"/>
      <w:divBdr>
        <w:top w:val="none" w:sz="0" w:space="0" w:color="auto"/>
        <w:left w:val="none" w:sz="0" w:space="0" w:color="auto"/>
        <w:bottom w:val="none" w:sz="0" w:space="0" w:color="auto"/>
        <w:right w:val="none" w:sz="0" w:space="0" w:color="auto"/>
      </w:divBdr>
    </w:div>
    <w:div w:id="703486445">
      <w:bodyDiv w:val="1"/>
      <w:marLeft w:val="0"/>
      <w:marRight w:val="0"/>
      <w:marTop w:val="0"/>
      <w:marBottom w:val="0"/>
      <w:divBdr>
        <w:top w:val="none" w:sz="0" w:space="0" w:color="auto"/>
        <w:left w:val="none" w:sz="0" w:space="0" w:color="auto"/>
        <w:bottom w:val="none" w:sz="0" w:space="0" w:color="auto"/>
        <w:right w:val="none" w:sz="0" w:space="0" w:color="auto"/>
      </w:divBdr>
    </w:div>
    <w:div w:id="765536335">
      <w:bodyDiv w:val="1"/>
      <w:marLeft w:val="0"/>
      <w:marRight w:val="0"/>
      <w:marTop w:val="0"/>
      <w:marBottom w:val="0"/>
      <w:divBdr>
        <w:top w:val="none" w:sz="0" w:space="0" w:color="auto"/>
        <w:left w:val="none" w:sz="0" w:space="0" w:color="auto"/>
        <w:bottom w:val="none" w:sz="0" w:space="0" w:color="auto"/>
        <w:right w:val="none" w:sz="0" w:space="0" w:color="auto"/>
      </w:divBdr>
    </w:div>
    <w:div w:id="833884115">
      <w:bodyDiv w:val="1"/>
      <w:marLeft w:val="0"/>
      <w:marRight w:val="0"/>
      <w:marTop w:val="0"/>
      <w:marBottom w:val="0"/>
      <w:divBdr>
        <w:top w:val="none" w:sz="0" w:space="0" w:color="auto"/>
        <w:left w:val="none" w:sz="0" w:space="0" w:color="auto"/>
        <w:bottom w:val="none" w:sz="0" w:space="0" w:color="auto"/>
        <w:right w:val="none" w:sz="0" w:space="0" w:color="auto"/>
      </w:divBdr>
    </w:div>
    <w:div w:id="865369552">
      <w:bodyDiv w:val="1"/>
      <w:marLeft w:val="0"/>
      <w:marRight w:val="0"/>
      <w:marTop w:val="0"/>
      <w:marBottom w:val="0"/>
      <w:divBdr>
        <w:top w:val="none" w:sz="0" w:space="0" w:color="auto"/>
        <w:left w:val="none" w:sz="0" w:space="0" w:color="auto"/>
        <w:bottom w:val="none" w:sz="0" w:space="0" w:color="auto"/>
        <w:right w:val="none" w:sz="0" w:space="0" w:color="auto"/>
      </w:divBdr>
    </w:div>
    <w:div w:id="940139792">
      <w:bodyDiv w:val="1"/>
      <w:marLeft w:val="0"/>
      <w:marRight w:val="0"/>
      <w:marTop w:val="0"/>
      <w:marBottom w:val="0"/>
      <w:divBdr>
        <w:top w:val="none" w:sz="0" w:space="0" w:color="auto"/>
        <w:left w:val="none" w:sz="0" w:space="0" w:color="auto"/>
        <w:bottom w:val="none" w:sz="0" w:space="0" w:color="auto"/>
        <w:right w:val="none" w:sz="0" w:space="0" w:color="auto"/>
      </w:divBdr>
    </w:div>
    <w:div w:id="960695809">
      <w:bodyDiv w:val="1"/>
      <w:marLeft w:val="0"/>
      <w:marRight w:val="0"/>
      <w:marTop w:val="0"/>
      <w:marBottom w:val="0"/>
      <w:divBdr>
        <w:top w:val="none" w:sz="0" w:space="0" w:color="auto"/>
        <w:left w:val="none" w:sz="0" w:space="0" w:color="auto"/>
        <w:bottom w:val="none" w:sz="0" w:space="0" w:color="auto"/>
        <w:right w:val="none" w:sz="0" w:space="0" w:color="auto"/>
      </w:divBdr>
    </w:div>
    <w:div w:id="1008826127">
      <w:bodyDiv w:val="1"/>
      <w:marLeft w:val="0"/>
      <w:marRight w:val="0"/>
      <w:marTop w:val="0"/>
      <w:marBottom w:val="0"/>
      <w:divBdr>
        <w:top w:val="none" w:sz="0" w:space="0" w:color="auto"/>
        <w:left w:val="none" w:sz="0" w:space="0" w:color="auto"/>
        <w:bottom w:val="none" w:sz="0" w:space="0" w:color="auto"/>
        <w:right w:val="none" w:sz="0" w:space="0" w:color="auto"/>
      </w:divBdr>
    </w:div>
    <w:div w:id="1077871662">
      <w:bodyDiv w:val="1"/>
      <w:marLeft w:val="0"/>
      <w:marRight w:val="0"/>
      <w:marTop w:val="0"/>
      <w:marBottom w:val="0"/>
      <w:divBdr>
        <w:top w:val="none" w:sz="0" w:space="0" w:color="auto"/>
        <w:left w:val="none" w:sz="0" w:space="0" w:color="auto"/>
        <w:bottom w:val="none" w:sz="0" w:space="0" w:color="auto"/>
        <w:right w:val="none" w:sz="0" w:space="0" w:color="auto"/>
      </w:divBdr>
    </w:div>
    <w:div w:id="1255046450">
      <w:bodyDiv w:val="1"/>
      <w:marLeft w:val="0"/>
      <w:marRight w:val="0"/>
      <w:marTop w:val="0"/>
      <w:marBottom w:val="0"/>
      <w:divBdr>
        <w:top w:val="none" w:sz="0" w:space="0" w:color="auto"/>
        <w:left w:val="none" w:sz="0" w:space="0" w:color="auto"/>
        <w:bottom w:val="none" w:sz="0" w:space="0" w:color="auto"/>
        <w:right w:val="none" w:sz="0" w:space="0" w:color="auto"/>
      </w:divBdr>
    </w:div>
    <w:div w:id="1277517488">
      <w:bodyDiv w:val="1"/>
      <w:marLeft w:val="0"/>
      <w:marRight w:val="0"/>
      <w:marTop w:val="0"/>
      <w:marBottom w:val="0"/>
      <w:divBdr>
        <w:top w:val="none" w:sz="0" w:space="0" w:color="auto"/>
        <w:left w:val="none" w:sz="0" w:space="0" w:color="auto"/>
        <w:bottom w:val="none" w:sz="0" w:space="0" w:color="auto"/>
        <w:right w:val="none" w:sz="0" w:space="0" w:color="auto"/>
      </w:divBdr>
    </w:div>
    <w:div w:id="1735883352">
      <w:bodyDiv w:val="1"/>
      <w:marLeft w:val="0"/>
      <w:marRight w:val="0"/>
      <w:marTop w:val="0"/>
      <w:marBottom w:val="0"/>
      <w:divBdr>
        <w:top w:val="none" w:sz="0" w:space="0" w:color="auto"/>
        <w:left w:val="none" w:sz="0" w:space="0" w:color="auto"/>
        <w:bottom w:val="none" w:sz="0" w:space="0" w:color="auto"/>
        <w:right w:val="none" w:sz="0" w:space="0" w:color="auto"/>
      </w:divBdr>
    </w:div>
    <w:div w:id="1840273641">
      <w:bodyDiv w:val="1"/>
      <w:marLeft w:val="0"/>
      <w:marRight w:val="0"/>
      <w:marTop w:val="0"/>
      <w:marBottom w:val="0"/>
      <w:divBdr>
        <w:top w:val="none" w:sz="0" w:space="0" w:color="auto"/>
        <w:left w:val="none" w:sz="0" w:space="0" w:color="auto"/>
        <w:bottom w:val="none" w:sz="0" w:space="0" w:color="auto"/>
        <w:right w:val="none" w:sz="0" w:space="0" w:color="auto"/>
      </w:divBdr>
    </w:div>
    <w:div w:id="1842502626">
      <w:bodyDiv w:val="1"/>
      <w:marLeft w:val="0"/>
      <w:marRight w:val="0"/>
      <w:marTop w:val="0"/>
      <w:marBottom w:val="0"/>
      <w:divBdr>
        <w:top w:val="none" w:sz="0" w:space="0" w:color="auto"/>
        <w:left w:val="none" w:sz="0" w:space="0" w:color="auto"/>
        <w:bottom w:val="none" w:sz="0" w:space="0" w:color="auto"/>
        <w:right w:val="none" w:sz="0" w:space="0" w:color="auto"/>
      </w:divBdr>
    </w:div>
    <w:div w:id="1852210226">
      <w:bodyDiv w:val="1"/>
      <w:marLeft w:val="0"/>
      <w:marRight w:val="0"/>
      <w:marTop w:val="0"/>
      <w:marBottom w:val="0"/>
      <w:divBdr>
        <w:top w:val="none" w:sz="0" w:space="0" w:color="auto"/>
        <w:left w:val="none" w:sz="0" w:space="0" w:color="auto"/>
        <w:bottom w:val="none" w:sz="0" w:space="0" w:color="auto"/>
        <w:right w:val="none" w:sz="0" w:space="0" w:color="auto"/>
      </w:divBdr>
    </w:div>
    <w:div w:id="1864244682">
      <w:bodyDiv w:val="1"/>
      <w:marLeft w:val="0"/>
      <w:marRight w:val="0"/>
      <w:marTop w:val="0"/>
      <w:marBottom w:val="0"/>
      <w:divBdr>
        <w:top w:val="none" w:sz="0" w:space="0" w:color="auto"/>
        <w:left w:val="none" w:sz="0" w:space="0" w:color="auto"/>
        <w:bottom w:val="none" w:sz="0" w:space="0" w:color="auto"/>
        <w:right w:val="none" w:sz="0" w:space="0" w:color="auto"/>
      </w:divBdr>
    </w:div>
    <w:div w:id="1903984248">
      <w:bodyDiv w:val="1"/>
      <w:marLeft w:val="0"/>
      <w:marRight w:val="0"/>
      <w:marTop w:val="0"/>
      <w:marBottom w:val="0"/>
      <w:divBdr>
        <w:top w:val="none" w:sz="0" w:space="0" w:color="auto"/>
        <w:left w:val="none" w:sz="0" w:space="0" w:color="auto"/>
        <w:bottom w:val="none" w:sz="0" w:space="0" w:color="auto"/>
        <w:right w:val="none" w:sz="0" w:space="0" w:color="auto"/>
      </w:divBdr>
    </w:div>
    <w:div w:id="1916090087">
      <w:bodyDiv w:val="1"/>
      <w:marLeft w:val="0"/>
      <w:marRight w:val="0"/>
      <w:marTop w:val="0"/>
      <w:marBottom w:val="0"/>
      <w:divBdr>
        <w:top w:val="none" w:sz="0" w:space="0" w:color="auto"/>
        <w:left w:val="none" w:sz="0" w:space="0" w:color="auto"/>
        <w:bottom w:val="none" w:sz="0" w:space="0" w:color="auto"/>
        <w:right w:val="none" w:sz="0" w:space="0" w:color="auto"/>
      </w:divBdr>
    </w:div>
    <w:div w:id="1968271793">
      <w:bodyDiv w:val="1"/>
      <w:marLeft w:val="0"/>
      <w:marRight w:val="0"/>
      <w:marTop w:val="0"/>
      <w:marBottom w:val="0"/>
      <w:divBdr>
        <w:top w:val="none" w:sz="0" w:space="0" w:color="auto"/>
        <w:left w:val="none" w:sz="0" w:space="0" w:color="auto"/>
        <w:bottom w:val="none" w:sz="0" w:space="0" w:color="auto"/>
        <w:right w:val="none" w:sz="0" w:space="0" w:color="auto"/>
      </w:divBdr>
    </w:div>
    <w:div w:id="206360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psiplatform.eu/content/european-psi-scoreboard"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CDEA860613EA764D817F892493A9F4E7" ma:contentTypeVersion="0" ma:contentTypeDescription="Izveidot jaunu dokumentu." ma:contentTypeScope="" ma:versionID="7ec00c100d33c5432cac3d74232d789e">
  <xsd:schema xmlns:xsd="http://www.w3.org/2001/XMLSchema" xmlns:p="http://schemas.microsoft.com/office/2006/metadata/properties" targetNamespace="http://schemas.microsoft.com/office/2006/metadata/properties" ma:root="true" ma:fieldsID="03f02128687e48d6f6cc7d7a99a2c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ma:readOnly="true"/>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39076-95C8-4B17-A9F6-3D5E7EF5C93C}">
  <ds:schemaRefs>
    <ds:schemaRef ds:uri="http://schemas.microsoft.com/sharepoint/v3/contenttype/forms"/>
  </ds:schemaRefs>
</ds:datastoreItem>
</file>

<file path=customXml/itemProps2.xml><?xml version="1.0" encoding="utf-8"?>
<ds:datastoreItem xmlns:ds="http://schemas.openxmlformats.org/officeDocument/2006/customXml" ds:itemID="{602DB082-21F6-4D2F-B52B-19098B697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91812EE-3A45-421B-AF9A-5BFA38431810}">
  <ds:schemaRefs>
    <ds:schemaRef ds:uri="http://schemas.microsoft.com/office/2006/metadata/properties"/>
  </ds:schemaRefs>
</ds:datastoreItem>
</file>

<file path=customXml/itemProps4.xml><?xml version="1.0" encoding="utf-8"?>
<ds:datastoreItem xmlns:ds="http://schemas.openxmlformats.org/officeDocument/2006/customXml" ds:itemID="{97FD109F-00BA-43FD-B77B-28BD2C74D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3</Pages>
  <Words>4752</Words>
  <Characters>2709</Characters>
  <Application>Microsoft Office Word</Application>
  <DocSecurity>0</DocSecurity>
  <Lines>22</Lines>
  <Paragraphs>14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Finanšu ministrija</Company>
  <LinksUpToDate>false</LinksUpToDate>
  <CharactersWithSpaces>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Ozols</dc:creator>
  <cp:keywords/>
  <dc:description/>
  <cp:lastModifiedBy>Līva Zvirgzdiņa</cp:lastModifiedBy>
  <cp:revision>5</cp:revision>
  <cp:lastPrinted>2014-12-01T09:35:00Z</cp:lastPrinted>
  <dcterms:created xsi:type="dcterms:W3CDTF">2016-04-29T08:09:00Z</dcterms:created>
  <dcterms:modified xsi:type="dcterms:W3CDTF">2020-05-07T10:55:00Z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0x010100CDEA860613EA764D817F892493A9F4E7</vt:lpwstr>
  </property>
</Properties>
</file>