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DFEE" w14:textId="6943069E" w:rsidR="00D45D98" w:rsidRPr="00DE29CC" w:rsidRDefault="00D45D98" w:rsidP="00D45D98">
      <w:pPr>
        <w:keepNext/>
        <w:spacing w:line="240" w:lineRule="auto"/>
        <w:jc w:val="center"/>
        <w:rPr>
          <w:rFonts w:ascii="Times New Roman" w:eastAsiaTheme="minorHAnsi" w:hAnsi="Times New Roman"/>
          <w:b/>
          <w:bCs/>
          <w:sz w:val="18"/>
          <w:szCs w:val="18"/>
        </w:rPr>
      </w:pPr>
      <w:r w:rsidRPr="00DE29CC">
        <w:rPr>
          <w:rFonts w:ascii="Times New Roman" w:eastAsiaTheme="minorHAnsi" w:hAnsi="Times New Roman"/>
          <w:b/>
          <w:bCs/>
          <w:sz w:val="18"/>
          <w:szCs w:val="18"/>
        </w:rPr>
        <w:t xml:space="preserve">Tabula </w:t>
      </w:r>
      <w:r w:rsidRPr="00DE29CC">
        <w:rPr>
          <w:rFonts w:ascii="Times New Roman" w:eastAsiaTheme="minorHAnsi" w:hAnsi="Times New Roman"/>
          <w:b/>
          <w:bCs/>
          <w:sz w:val="18"/>
          <w:szCs w:val="18"/>
        </w:rPr>
        <w:fldChar w:fldCharType="begin"/>
      </w:r>
      <w:r w:rsidRPr="00DE29CC">
        <w:rPr>
          <w:rFonts w:ascii="Times New Roman" w:eastAsiaTheme="minorHAnsi" w:hAnsi="Times New Roman"/>
          <w:b/>
          <w:bCs/>
          <w:sz w:val="18"/>
          <w:szCs w:val="18"/>
        </w:rPr>
        <w:instrText xml:space="preserve"> SEQ Tabula \* ARABIC </w:instrText>
      </w:r>
      <w:r w:rsidRPr="00DE29CC">
        <w:rPr>
          <w:rFonts w:ascii="Times New Roman" w:eastAsiaTheme="minorHAnsi" w:hAnsi="Times New Roman"/>
          <w:b/>
          <w:bCs/>
          <w:sz w:val="18"/>
          <w:szCs w:val="18"/>
        </w:rPr>
        <w:fldChar w:fldCharType="separate"/>
      </w:r>
      <w:r w:rsidR="00EE23AF">
        <w:rPr>
          <w:rFonts w:ascii="Times New Roman" w:eastAsiaTheme="minorHAnsi" w:hAnsi="Times New Roman"/>
          <w:b/>
          <w:bCs/>
          <w:noProof/>
          <w:sz w:val="18"/>
          <w:szCs w:val="18"/>
        </w:rPr>
        <w:t>1</w:t>
      </w:r>
      <w:r w:rsidRPr="00DE29CC">
        <w:rPr>
          <w:rFonts w:ascii="Times New Roman" w:eastAsiaTheme="minorHAnsi" w:hAnsi="Times New Roman"/>
          <w:b/>
          <w:bCs/>
          <w:sz w:val="18"/>
          <w:szCs w:val="18"/>
        </w:rPr>
        <w:fldChar w:fldCharType="end"/>
      </w:r>
      <w:r w:rsidRPr="00DE29CC">
        <w:rPr>
          <w:rFonts w:ascii="Times New Roman" w:eastAsiaTheme="minorHAnsi" w:hAnsi="Times New Roman"/>
          <w:b/>
          <w:bCs/>
          <w:sz w:val="18"/>
          <w:szCs w:val="18"/>
        </w:rPr>
        <w:t xml:space="preserve"> Rādītāju pase investīciju prioritātes specifiskajiem mērķiem</w:t>
      </w:r>
    </w:p>
    <w:tbl>
      <w:tblPr>
        <w:tblStyle w:val="TableGrid1"/>
        <w:tblW w:w="5000" w:type="pct"/>
        <w:tblLook w:val="04A0" w:firstRow="1" w:lastRow="0" w:firstColumn="1" w:lastColumn="0" w:noHBand="0" w:noVBand="1"/>
      </w:tblPr>
      <w:tblGrid>
        <w:gridCol w:w="1116"/>
        <w:gridCol w:w="1176"/>
        <w:gridCol w:w="1246"/>
        <w:gridCol w:w="6221"/>
        <w:gridCol w:w="4189"/>
      </w:tblGrid>
      <w:tr w:rsidR="005F4853" w:rsidRPr="00DE29CC" w14:paraId="1291C20A" w14:textId="77777777" w:rsidTr="00DE4A2D">
        <w:tc>
          <w:tcPr>
            <w:tcW w:w="400" w:type="pct"/>
          </w:tcPr>
          <w:p w14:paraId="1FD956E6" w14:textId="77777777" w:rsidR="005F4853" w:rsidRPr="00DE29CC" w:rsidRDefault="005F4853" w:rsidP="00EB22EA">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Prioritārais virziens</w:t>
            </w:r>
          </w:p>
        </w:tc>
        <w:tc>
          <w:tcPr>
            <w:tcW w:w="422" w:type="pct"/>
          </w:tcPr>
          <w:p w14:paraId="6FE77A30" w14:textId="1D8E5D05" w:rsidR="005F4853" w:rsidRPr="00DE29CC" w:rsidRDefault="00D820FB" w:rsidP="00EB22EA">
            <w:pPr>
              <w:spacing w:after="0" w:line="240" w:lineRule="auto"/>
              <w:jc w:val="center"/>
              <w:rPr>
                <w:rFonts w:ascii="Times New Roman" w:eastAsiaTheme="minorHAnsi" w:hAnsi="Times New Roman"/>
                <w:b/>
                <w:sz w:val="18"/>
                <w:szCs w:val="18"/>
              </w:rPr>
            </w:pPr>
            <w:r>
              <w:rPr>
                <w:rFonts w:ascii="Times New Roman" w:eastAsiaTheme="minorHAnsi" w:hAnsi="Times New Roman"/>
                <w:b/>
                <w:sz w:val="18"/>
                <w:szCs w:val="18"/>
              </w:rPr>
              <w:t>Ieguldījumu</w:t>
            </w:r>
            <w:r w:rsidR="005F4853" w:rsidRPr="00DE29CC">
              <w:rPr>
                <w:rFonts w:ascii="Times New Roman" w:eastAsiaTheme="minorHAnsi" w:hAnsi="Times New Roman"/>
                <w:b/>
                <w:sz w:val="18"/>
                <w:szCs w:val="18"/>
              </w:rPr>
              <w:t xml:space="preserve"> prioritātes nosaukums</w:t>
            </w:r>
          </w:p>
        </w:tc>
        <w:tc>
          <w:tcPr>
            <w:tcW w:w="447" w:type="pct"/>
          </w:tcPr>
          <w:p w14:paraId="1E477A5A" w14:textId="77777777" w:rsidR="005F4853" w:rsidRPr="00DE29CC" w:rsidRDefault="005F4853" w:rsidP="00EB22EA">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Specifiskie atbalsta mērķi (SAM)</w:t>
            </w:r>
          </w:p>
        </w:tc>
        <w:tc>
          <w:tcPr>
            <w:tcW w:w="1677" w:type="pct"/>
          </w:tcPr>
          <w:p w14:paraId="372D8C5D" w14:textId="77777777" w:rsidR="005F4853" w:rsidRPr="00DE29CC" w:rsidRDefault="005F4853" w:rsidP="00EB22EA">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Rezultāta rādītāji</w:t>
            </w:r>
          </w:p>
        </w:tc>
        <w:tc>
          <w:tcPr>
            <w:tcW w:w="2054" w:type="pct"/>
          </w:tcPr>
          <w:p w14:paraId="696E9211" w14:textId="77777777" w:rsidR="005F4853" w:rsidRPr="00DE29CC" w:rsidRDefault="005F4853" w:rsidP="00EB22EA">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Iznākuma rādītāji (IR)</w:t>
            </w:r>
          </w:p>
        </w:tc>
      </w:tr>
      <w:tr w:rsidR="005F4853" w:rsidRPr="00DE29CC" w14:paraId="7D6CB6A0" w14:textId="77777777" w:rsidTr="00ED7B70">
        <w:trPr>
          <w:trHeight w:val="3534"/>
        </w:trPr>
        <w:tc>
          <w:tcPr>
            <w:tcW w:w="400" w:type="pct"/>
          </w:tcPr>
          <w:p w14:paraId="7CCDB2CD" w14:textId="38BF276A" w:rsidR="005F4853" w:rsidRPr="00DE29CC" w:rsidRDefault="00D820FB" w:rsidP="003C3043">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13. Pasākumi Covid-19 pandēmijas seku mazināšanai (ERAF)</w:t>
            </w:r>
          </w:p>
        </w:tc>
        <w:tc>
          <w:tcPr>
            <w:tcW w:w="422" w:type="pct"/>
          </w:tcPr>
          <w:p w14:paraId="7A515303" w14:textId="50303632" w:rsidR="005F4853" w:rsidRPr="00DE29CC" w:rsidRDefault="00D820FB" w:rsidP="00D820FB">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13.1.</w:t>
            </w:r>
            <w:r>
              <w:rPr>
                <w:rFonts w:ascii="Times New Roman" w:eastAsiaTheme="minorHAnsi" w:hAnsi="Times New Roman"/>
                <w:sz w:val="18"/>
                <w:szCs w:val="18"/>
              </w:rPr>
              <w:t xml:space="preserve"> </w:t>
            </w:r>
            <w:r w:rsidRPr="00D820FB">
              <w:rPr>
                <w:rFonts w:ascii="Times New Roman" w:eastAsiaTheme="minorHAnsi" w:hAnsi="Times New Roman"/>
                <w:sz w:val="18"/>
                <w:szCs w:val="18"/>
              </w:rPr>
              <w:t xml:space="preserve">Palīdzēt veicināt ar Covid-19 pandēmiju un tās sociālajām sekām saistītās krīzes seku pārvarēšanu un sagatavoties zaļai, digitālai un noturīgai ekonomikas atveseļošanai </w:t>
            </w:r>
            <w:r w:rsidRPr="00D820FB">
              <w:rPr>
                <w:rFonts w:ascii="Times New Roman" w:eastAsiaTheme="minorHAnsi" w:hAnsi="Times New Roman"/>
                <w:bCs/>
                <w:sz w:val="18"/>
                <w:szCs w:val="18"/>
              </w:rPr>
              <w:t>(ERAF</w:t>
            </w:r>
            <w:r w:rsidRPr="00D820FB">
              <w:rPr>
                <w:rFonts w:ascii="Times New Roman" w:eastAsiaTheme="minorHAnsi" w:hAnsi="Times New Roman"/>
                <w:sz w:val="18"/>
                <w:szCs w:val="18"/>
              </w:rPr>
              <w:t>)</w:t>
            </w:r>
            <w:r w:rsidR="005F4853" w:rsidRPr="00DE29CC">
              <w:rPr>
                <w:rFonts w:ascii="Times New Roman" w:eastAsiaTheme="minorHAnsi" w:hAnsi="Times New Roman"/>
                <w:sz w:val="18"/>
                <w:szCs w:val="18"/>
              </w:rPr>
              <w:t xml:space="preserve"> </w:t>
            </w:r>
          </w:p>
        </w:tc>
        <w:tc>
          <w:tcPr>
            <w:tcW w:w="447" w:type="pct"/>
          </w:tcPr>
          <w:p w14:paraId="6684DFB2" w14:textId="4DD4C268" w:rsidR="00D820FB" w:rsidRPr="00D820FB" w:rsidRDefault="00D820FB" w:rsidP="00D820FB">
            <w:pPr>
              <w:spacing w:after="0" w:line="240" w:lineRule="auto"/>
              <w:jc w:val="both"/>
              <w:rPr>
                <w:rFonts w:ascii="Times New Roman" w:eastAsiaTheme="minorHAnsi" w:hAnsi="Times New Roman"/>
                <w:b/>
                <w:bCs/>
                <w:sz w:val="18"/>
                <w:szCs w:val="18"/>
              </w:rPr>
            </w:pPr>
            <w:r w:rsidRPr="00D820FB">
              <w:rPr>
                <w:rFonts w:ascii="Times New Roman" w:eastAsiaTheme="minorHAnsi" w:hAnsi="Times New Roman"/>
                <w:b/>
                <w:bCs/>
                <w:sz w:val="18"/>
                <w:szCs w:val="18"/>
              </w:rPr>
              <w:t>13.1.1.</w:t>
            </w:r>
            <w:r w:rsidR="0043699F">
              <w:rPr>
                <w:rFonts w:ascii="Times New Roman" w:eastAsiaTheme="minorHAnsi" w:hAnsi="Times New Roman"/>
                <w:b/>
                <w:bCs/>
                <w:sz w:val="18"/>
                <w:szCs w:val="18"/>
              </w:rPr>
              <w:t xml:space="preserve"> </w:t>
            </w:r>
            <w:r w:rsidRPr="00D820FB">
              <w:rPr>
                <w:rFonts w:ascii="Times New Roman" w:eastAsiaTheme="minorHAnsi" w:hAnsi="Times New Roman"/>
                <w:b/>
                <w:bCs/>
                <w:sz w:val="18"/>
                <w:szCs w:val="18"/>
              </w:rPr>
              <w:t>SAM</w:t>
            </w:r>
            <w:r w:rsidRPr="00D820FB">
              <w:rPr>
                <w:rFonts w:ascii="Times New Roman" w:eastAsiaTheme="minorHAnsi" w:hAnsi="Times New Roman"/>
                <w:sz w:val="18"/>
                <w:szCs w:val="18"/>
              </w:rPr>
              <w:t xml:space="preserve">: </w:t>
            </w:r>
            <w:r w:rsidRPr="00D820FB">
              <w:rPr>
                <w:rFonts w:ascii="Times New Roman" w:eastAsiaTheme="minorHAnsi" w:hAnsi="Times New Roman"/>
                <w:b/>
                <w:sz w:val="18"/>
                <w:szCs w:val="18"/>
              </w:rPr>
              <w:t>a</w:t>
            </w:r>
            <w:r w:rsidRPr="00D820FB">
              <w:rPr>
                <w:rFonts w:ascii="Times New Roman" w:eastAsiaTheme="minorHAnsi" w:hAnsi="Times New Roman"/>
                <w:b/>
                <w:bCs/>
                <w:sz w:val="18"/>
                <w:szCs w:val="18"/>
              </w:rPr>
              <w:t>tveseļoš</w:t>
            </w:r>
            <w:r w:rsidR="00C042EA">
              <w:rPr>
                <w:rFonts w:ascii="Times New Roman" w:eastAsiaTheme="minorHAnsi" w:hAnsi="Times New Roman"/>
                <w:b/>
                <w:bCs/>
                <w:sz w:val="18"/>
                <w:szCs w:val="18"/>
              </w:rPr>
              <w:t>anas pasākumi ekonomikas nozarē</w:t>
            </w:r>
            <w:r w:rsidRPr="00D820FB">
              <w:rPr>
                <w:rFonts w:ascii="Times New Roman" w:eastAsiaTheme="minorHAnsi" w:hAnsi="Times New Roman"/>
                <w:b/>
                <w:bCs/>
                <w:sz w:val="18"/>
                <w:szCs w:val="18"/>
              </w:rPr>
              <w:t xml:space="preserve"> </w:t>
            </w:r>
          </w:p>
          <w:p w14:paraId="1CEA93B3" w14:textId="204A8960" w:rsidR="005F4853" w:rsidRPr="00DE29CC" w:rsidRDefault="005F4853" w:rsidP="003C3043">
            <w:pPr>
              <w:spacing w:after="0" w:line="240" w:lineRule="auto"/>
              <w:jc w:val="both"/>
              <w:rPr>
                <w:rFonts w:ascii="Times New Roman" w:eastAsiaTheme="minorHAnsi" w:hAnsi="Times New Roman"/>
                <w:sz w:val="18"/>
                <w:szCs w:val="18"/>
              </w:rPr>
            </w:pPr>
          </w:p>
        </w:tc>
        <w:tc>
          <w:tcPr>
            <w:tcW w:w="1677" w:type="pct"/>
          </w:tcPr>
          <w:p w14:paraId="128FEF35" w14:textId="5E7AF203" w:rsidR="00DE4A2D" w:rsidRPr="00A01730" w:rsidRDefault="00DE4A2D" w:rsidP="00477905">
            <w:pPr>
              <w:spacing w:after="0" w:line="240" w:lineRule="auto"/>
              <w:rPr>
                <w:rFonts w:ascii="Times New Roman" w:hAnsi="Times New Roman"/>
                <w:b/>
                <w:sz w:val="18"/>
                <w:szCs w:val="18"/>
              </w:rPr>
            </w:pPr>
            <w:r w:rsidRPr="002E136F">
              <w:rPr>
                <w:rFonts w:ascii="Times New Roman" w:hAnsi="Times New Roman"/>
                <w:i/>
                <w:sz w:val="18"/>
                <w:szCs w:val="18"/>
              </w:rPr>
              <w:t>Nosaukums un mērvienība</w:t>
            </w:r>
            <w:r w:rsidRPr="002E136F">
              <w:rPr>
                <w:rFonts w:ascii="Times New Roman" w:hAnsi="Times New Roman"/>
                <w:b/>
                <w:i/>
                <w:sz w:val="18"/>
                <w:szCs w:val="18"/>
              </w:rPr>
              <w:t>:</w:t>
            </w:r>
            <w:r w:rsidRPr="002E136F">
              <w:rPr>
                <w:rFonts w:ascii="Times New Roman" w:hAnsi="Times New Roman"/>
                <w:b/>
                <w:sz w:val="18"/>
                <w:szCs w:val="18"/>
              </w:rPr>
              <w:t xml:space="preserve"> </w:t>
            </w:r>
            <w:r w:rsidR="00477905" w:rsidRPr="00A01730">
              <w:rPr>
                <w:rFonts w:ascii="Times New Roman" w:eastAsia="Times New Roman" w:hAnsi="Times New Roman"/>
                <w:b/>
                <w:bCs/>
                <w:color w:val="000000" w:themeColor="text1"/>
                <w:sz w:val="18"/>
                <w:szCs w:val="18"/>
              </w:rPr>
              <w:t xml:space="preserve">r.13.1.1.a </w:t>
            </w:r>
            <w:r w:rsidRPr="002E136F">
              <w:rPr>
                <w:rFonts w:ascii="Times New Roman" w:hAnsi="Times New Roman"/>
                <w:b/>
                <w:sz w:val="18"/>
                <w:szCs w:val="18"/>
              </w:rPr>
              <w:t>MVK skaits uz 1000 iedzīvotājiem, komersanti</w:t>
            </w:r>
          </w:p>
          <w:p w14:paraId="36D87389" w14:textId="77777777" w:rsidR="00DE4A2D" w:rsidRPr="00A01730" w:rsidRDefault="00DE4A2D" w:rsidP="00DE4A2D">
            <w:pPr>
              <w:spacing w:after="0" w:line="240" w:lineRule="auto"/>
              <w:jc w:val="both"/>
              <w:rPr>
                <w:rFonts w:ascii="Times New Roman" w:hAnsi="Times New Roman"/>
                <w:sz w:val="18"/>
                <w:szCs w:val="18"/>
              </w:rPr>
            </w:pPr>
          </w:p>
          <w:p w14:paraId="28D519D9" w14:textId="77777777" w:rsidR="00DE4A2D" w:rsidRPr="002E136F" w:rsidRDefault="00DE4A2D" w:rsidP="00DE4A2D">
            <w:pPr>
              <w:spacing w:after="0" w:line="240" w:lineRule="auto"/>
              <w:jc w:val="both"/>
              <w:rPr>
                <w:rFonts w:ascii="Times New Roman" w:hAnsi="Times New Roman"/>
                <w:sz w:val="18"/>
                <w:szCs w:val="18"/>
              </w:rPr>
            </w:pPr>
            <w:r w:rsidRPr="00A01730">
              <w:rPr>
                <w:rFonts w:ascii="Times New Roman" w:hAnsi="Times New Roman"/>
                <w:sz w:val="18"/>
                <w:szCs w:val="18"/>
              </w:rPr>
              <w:t>Definīcija</w:t>
            </w:r>
            <w:bookmarkStart w:id="0" w:name="_Ref526335223"/>
            <w:r w:rsidRPr="002E136F">
              <w:rPr>
                <w:rStyle w:val="FootnoteReference"/>
                <w:rFonts w:ascii="Times New Roman" w:hAnsi="Times New Roman"/>
                <w:sz w:val="18"/>
                <w:szCs w:val="18"/>
              </w:rPr>
              <w:footnoteReference w:id="2"/>
            </w:r>
            <w:bookmarkEnd w:id="0"/>
            <w:r w:rsidRPr="002E136F">
              <w:rPr>
                <w:rFonts w:ascii="Times New Roman" w:hAnsi="Times New Roman"/>
                <w:sz w:val="18"/>
                <w:szCs w:val="18"/>
              </w:rPr>
              <w:t>: MVK skaits uz 1000 iedzīvotājiem, skaits</w:t>
            </w:r>
          </w:p>
          <w:p w14:paraId="124D73D3" w14:textId="77777777" w:rsidR="00DE4A2D" w:rsidRPr="00A01730" w:rsidRDefault="00DE4A2D" w:rsidP="00DE4A2D">
            <w:pPr>
              <w:spacing w:after="0" w:line="240" w:lineRule="auto"/>
              <w:jc w:val="both"/>
              <w:rPr>
                <w:rFonts w:ascii="Times New Roman" w:hAnsi="Times New Roman"/>
                <w:sz w:val="18"/>
                <w:szCs w:val="18"/>
              </w:rPr>
            </w:pPr>
          </w:p>
          <w:p w14:paraId="40611EE6" w14:textId="77777777" w:rsidR="00DE4A2D" w:rsidRPr="00A01730" w:rsidRDefault="00DE4A2D" w:rsidP="00DE4A2D">
            <w:pPr>
              <w:spacing w:after="0" w:line="240" w:lineRule="auto"/>
              <w:jc w:val="both"/>
              <w:rPr>
                <w:rFonts w:ascii="Times New Roman" w:hAnsi="Times New Roman"/>
                <w:sz w:val="18"/>
                <w:szCs w:val="18"/>
              </w:rPr>
            </w:pPr>
            <w:r w:rsidRPr="00A01730">
              <w:rPr>
                <w:rFonts w:ascii="Times New Roman" w:hAnsi="Times New Roman"/>
                <w:sz w:val="18"/>
                <w:szCs w:val="18"/>
              </w:rPr>
              <w:t>Bāzes vērtība un tās noteikšanas gads: 36,9 (2013)</w:t>
            </w:r>
          </w:p>
          <w:p w14:paraId="68EB2EB3" w14:textId="77777777" w:rsidR="00DE4A2D" w:rsidRPr="00A01730" w:rsidRDefault="00DE4A2D" w:rsidP="00DE4A2D">
            <w:pPr>
              <w:spacing w:after="0" w:line="240" w:lineRule="auto"/>
              <w:jc w:val="both"/>
              <w:rPr>
                <w:rFonts w:ascii="Times New Roman" w:hAnsi="Times New Roman"/>
                <w:sz w:val="18"/>
                <w:szCs w:val="18"/>
              </w:rPr>
            </w:pPr>
          </w:p>
          <w:p w14:paraId="216B7E5E" w14:textId="6F0AC57C" w:rsidR="00DE4A2D" w:rsidRPr="002E136F" w:rsidRDefault="00DE4A2D" w:rsidP="00DE4A2D">
            <w:pPr>
              <w:spacing w:after="0" w:line="240" w:lineRule="auto"/>
              <w:jc w:val="both"/>
              <w:rPr>
                <w:rFonts w:ascii="Times New Roman" w:hAnsi="Times New Roman"/>
                <w:sz w:val="18"/>
                <w:szCs w:val="18"/>
              </w:rPr>
            </w:pPr>
            <w:r w:rsidRPr="00A01730">
              <w:rPr>
                <w:rFonts w:ascii="Times New Roman" w:hAnsi="Times New Roman"/>
                <w:sz w:val="18"/>
                <w:szCs w:val="18"/>
              </w:rPr>
              <w:t xml:space="preserve">Datu avots: </w:t>
            </w:r>
            <w:r w:rsidR="00477905" w:rsidRPr="00A01730">
              <w:rPr>
                <w:rFonts w:ascii="Times New Roman" w:eastAsia="Times New Roman" w:hAnsi="Times New Roman"/>
                <w:bCs/>
                <w:color w:val="000000" w:themeColor="text1"/>
                <w:sz w:val="18"/>
                <w:szCs w:val="18"/>
              </w:rPr>
              <w:t>Eiropas MVK ikgadējais ziņojums</w:t>
            </w:r>
          </w:p>
          <w:p w14:paraId="33DBA0DC" w14:textId="77777777" w:rsidR="00DE4A2D" w:rsidRPr="00A01730" w:rsidRDefault="00DE4A2D" w:rsidP="00DE4A2D">
            <w:pPr>
              <w:spacing w:after="0" w:line="240" w:lineRule="auto"/>
              <w:jc w:val="both"/>
              <w:rPr>
                <w:rFonts w:ascii="Times New Roman" w:hAnsi="Times New Roman"/>
                <w:sz w:val="18"/>
                <w:szCs w:val="18"/>
              </w:rPr>
            </w:pPr>
          </w:p>
          <w:p w14:paraId="0BB6E10E" w14:textId="77777777" w:rsidR="00DE4A2D" w:rsidRPr="00A01730" w:rsidRDefault="00DE4A2D" w:rsidP="00DE4A2D">
            <w:pPr>
              <w:spacing w:after="0" w:line="240" w:lineRule="auto"/>
              <w:jc w:val="both"/>
              <w:rPr>
                <w:rFonts w:ascii="Times New Roman" w:hAnsi="Times New Roman"/>
                <w:sz w:val="18"/>
                <w:szCs w:val="18"/>
              </w:rPr>
            </w:pPr>
            <w:r w:rsidRPr="00A01730">
              <w:rPr>
                <w:rFonts w:ascii="Times New Roman" w:hAnsi="Times New Roman"/>
                <w:sz w:val="18"/>
                <w:szCs w:val="18"/>
              </w:rPr>
              <w:t>Apkopošanas biežums un ieguves metodoloģija: reizi gadā, pieprasot informāciju CSP</w:t>
            </w:r>
          </w:p>
          <w:p w14:paraId="01E4945B" w14:textId="77777777" w:rsidR="00DE4A2D" w:rsidRPr="00A01730" w:rsidRDefault="00DE4A2D" w:rsidP="00DE4A2D">
            <w:pPr>
              <w:spacing w:after="0" w:line="240" w:lineRule="auto"/>
              <w:jc w:val="both"/>
              <w:rPr>
                <w:rFonts w:ascii="Times New Roman" w:hAnsi="Times New Roman"/>
                <w:sz w:val="18"/>
                <w:szCs w:val="18"/>
              </w:rPr>
            </w:pPr>
          </w:p>
          <w:p w14:paraId="391C185D" w14:textId="7BF45272" w:rsidR="00DE4A2D" w:rsidRDefault="00DE4A2D" w:rsidP="00DE4A2D">
            <w:pPr>
              <w:spacing w:after="0" w:line="240" w:lineRule="auto"/>
              <w:jc w:val="both"/>
              <w:rPr>
                <w:rFonts w:ascii="Times New Roman" w:hAnsi="Times New Roman"/>
                <w:sz w:val="18"/>
                <w:szCs w:val="18"/>
              </w:rPr>
            </w:pPr>
            <w:r w:rsidRPr="00A01730">
              <w:rPr>
                <w:rFonts w:ascii="Times New Roman" w:hAnsi="Times New Roman"/>
                <w:sz w:val="18"/>
                <w:szCs w:val="18"/>
              </w:rPr>
              <w:t>Mērķis 2023: 40</w:t>
            </w:r>
          </w:p>
          <w:p w14:paraId="228C13DC" w14:textId="19D8DF02" w:rsidR="00705E8C" w:rsidRPr="004D1EF8" w:rsidRDefault="00705E8C" w:rsidP="00EB019F">
            <w:pPr>
              <w:spacing w:after="0" w:line="240" w:lineRule="auto"/>
              <w:jc w:val="both"/>
              <w:rPr>
                <w:rFonts w:ascii="Times New Roman" w:hAnsi="Times New Roman"/>
                <w:sz w:val="18"/>
                <w:szCs w:val="18"/>
              </w:rPr>
            </w:pPr>
          </w:p>
          <w:p w14:paraId="33FA8CB8" w14:textId="0FA1ACBC" w:rsidR="00EB019F" w:rsidRPr="00702641" w:rsidRDefault="00EB019F" w:rsidP="00EB019F">
            <w:pPr>
              <w:spacing w:after="0" w:line="240" w:lineRule="auto"/>
              <w:jc w:val="both"/>
              <w:rPr>
                <w:rFonts w:ascii="Times New Roman" w:hAnsi="Times New Roman"/>
                <w:sz w:val="18"/>
                <w:szCs w:val="18"/>
              </w:rPr>
            </w:pPr>
            <w:r w:rsidRPr="004D1EF8">
              <w:rPr>
                <w:rFonts w:ascii="Times New Roman" w:hAnsi="Times New Roman"/>
                <w:sz w:val="18"/>
                <w:szCs w:val="18"/>
              </w:rPr>
              <w:t xml:space="preserve">Apjoms, kas sasniedzams </w:t>
            </w:r>
            <w:r w:rsidR="003A2742">
              <w:rPr>
                <w:rFonts w:ascii="Times New Roman" w:hAnsi="Times New Roman"/>
                <w:sz w:val="18"/>
                <w:szCs w:val="18"/>
              </w:rPr>
              <w:t xml:space="preserve"> līdz</w:t>
            </w:r>
            <w:r w:rsidRPr="004D1EF8">
              <w:rPr>
                <w:rFonts w:ascii="Times New Roman" w:hAnsi="Times New Roman"/>
                <w:sz w:val="18"/>
                <w:szCs w:val="18"/>
              </w:rPr>
              <w:t xml:space="preserve"> 202</w:t>
            </w:r>
            <w:r w:rsidR="003A2742">
              <w:rPr>
                <w:rFonts w:ascii="Times New Roman" w:hAnsi="Times New Roman"/>
                <w:sz w:val="18"/>
                <w:szCs w:val="18"/>
              </w:rPr>
              <w:t>3</w:t>
            </w:r>
            <w:r w:rsidRPr="004D1EF8">
              <w:rPr>
                <w:rFonts w:ascii="Times New Roman" w:hAnsi="Times New Roman"/>
                <w:sz w:val="18"/>
                <w:szCs w:val="18"/>
              </w:rPr>
              <w:t>.gada</w:t>
            </w:r>
            <w:r w:rsidR="003A2742">
              <w:rPr>
                <w:rFonts w:ascii="Times New Roman" w:hAnsi="Times New Roman"/>
                <w:sz w:val="18"/>
                <w:szCs w:val="18"/>
              </w:rPr>
              <w:t>m</w:t>
            </w:r>
            <w:r w:rsidRPr="004D1EF8">
              <w:rPr>
                <w:rFonts w:ascii="Times New Roman" w:hAnsi="Times New Roman"/>
                <w:sz w:val="18"/>
                <w:szCs w:val="18"/>
              </w:rPr>
              <w:t xml:space="preserve">: </w:t>
            </w:r>
            <w:r>
              <w:rPr>
                <w:rFonts w:ascii="Times New Roman" w:hAnsi="Times New Roman"/>
                <w:sz w:val="18"/>
                <w:szCs w:val="18"/>
              </w:rPr>
              <w:t>4</w:t>
            </w:r>
            <w:r w:rsidRPr="004D1EF8">
              <w:rPr>
                <w:rFonts w:ascii="Times New Roman" w:hAnsi="Times New Roman"/>
                <w:sz w:val="18"/>
                <w:szCs w:val="18"/>
              </w:rPr>
              <w:t>0</w:t>
            </w:r>
          </w:p>
          <w:p w14:paraId="05DF6F33" w14:textId="12D30E3D" w:rsidR="00DE4A2D" w:rsidRPr="00A01730" w:rsidRDefault="00705E8C" w:rsidP="00DE4A2D">
            <w:pPr>
              <w:spacing w:after="0" w:line="240" w:lineRule="auto"/>
              <w:jc w:val="both"/>
              <w:rPr>
                <w:rFonts w:ascii="Times New Roman" w:hAnsi="Times New Roman"/>
                <w:sz w:val="18"/>
                <w:szCs w:val="18"/>
              </w:rPr>
            </w:pPr>
            <w:r>
              <w:rPr>
                <w:rFonts w:ascii="Times New Roman" w:hAnsi="Times New Roman"/>
                <w:sz w:val="18"/>
                <w:szCs w:val="18"/>
              </w:rPr>
              <w:t xml:space="preserve">Plānots, ka ar EK 2022.gada piešķīrumu tiks sasniegts mērķis un uz 1000 iedzīvotājiem būs 40 komersanti. </w:t>
            </w:r>
          </w:p>
          <w:p w14:paraId="67B99F9D" w14:textId="1B769BE8" w:rsidR="00DE4A2D" w:rsidRPr="00A01730" w:rsidRDefault="00DE4A2D" w:rsidP="00DE4A2D">
            <w:pPr>
              <w:spacing w:after="0" w:line="240" w:lineRule="auto"/>
              <w:jc w:val="both"/>
              <w:rPr>
                <w:rFonts w:ascii="Times New Roman" w:hAnsi="Times New Roman"/>
                <w:sz w:val="18"/>
                <w:szCs w:val="18"/>
              </w:rPr>
            </w:pPr>
            <w:r w:rsidRPr="00A01730">
              <w:rPr>
                <w:rFonts w:ascii="Times New Roman" w:hAnsi="Times New Roman"/>
                <w:i/>
                <w:sz w:val="18"/>
                <w:szCs w:val="18"/>
              </w:rPr>
              <w:t>Mērķa vērtības noteikšanas principi/metodoloģija</w:t>
            </w:r>
            <w:r w:rsidRPr="002E136F">
              <w:rPr>
                <w:rStyle w:val="FootnoteReference"/>
                <w:rFonts w:ascii="Times New Roman" w:hAnsi="Times New Roman"/>
                <w:i/>
                <w:sz w:val="18"/>
                <w:szCs w:val="18"/>
              </w:rPr>
              <w:footnoteReference w:id="3"/>
            </w:r>
            <w:r w:rsidRPr="002E136F">
              <w:rPr>
                <w:rFonts w:ascii="Times New Roman" w:hAnsi="Times New Roman"/>
                <w:sz w:val="18"/>
                <w:szCs w:val="18"/>
              </w:rPr>
              <w:t>: Komercsabiedrību skaita pieaugums noteikts atbilstoši Latvijas Nacionā</w:t>
            </w:r>
            <w:r w:rsidRPr="00A01730">
              <w:rPr>
                <w:rFonts w:ascii="Times New Roman" w:hAnsi="Times New Roman"/>
                <w:sz w:val="18"/>
                <w:szCs w:val="18"/>
              </w:rPr>
              <w:t xml:space="preserve">lais attīstības plānam 2014. – 2020. </w:t>
            </w:r>
            <w:r w:rsidR="002E136F" w:rsidRPr="00A01730">
              <w:rPr>
                <w:rFonts w:ascii="Times New Roman" w:hAnsi="Times New Roman"/>
                <w:sz w:val="18"/>
                <w:szCs w:val="18"/>
              </w:rPr>
              <w:t>g</w:t>
            </w:r>
            <w:r w:rsidRPr="00A01730">
              <w:rPr>
                <w:rFonts w:ascii="Times New Roman" w:hAnsi="Times New Roman"/>
                <w:sz w:val="18"/>
                <w:szCs w:val="18"/>
              </w:rPr>
              <w:t xml:space="preserve">adam kā mērķis </w:t>
            </w:r>
            <w:r w:rsidR="00702641" w:rsidRPr="00A01730">
              <w:rPr>
                <w:rFonts w:ascii="Times New Roman" w:hAnsi="Times New Roman"/>
                <w:sz w:val="18"/>
                <w:szCs w:val="18"/>
              </w:rPr>
              <w:t>202</w:t>
            </w:r>
            <w:r w:rsidR="00702641">
              <w:rPr>
                <w:rFonts w:ascii="Times New Roman" w:hAnsi="Times New Roman"/>
                <w:sz w:val="18"/>
                <w:szCs w:val="18"/>
              </w:rPr>
              <w:t>3</w:t>
            </w:r>
            <w:r w:rsidRPr="002E136F">
              <w:rPr>
                <w:rFonts w:ascii="Times New Roman" w:hAnsi="Times New Roman"/>
                <w:sz w:val="18"/>
                <w:szCs w:val="18"/>
              </w:rPr>
              <w:t>.gadā ir sasniegt 80 000 aktīvu komercsabiedrību. MVK skaits Latvijā uz 1000 iedzīvotājiem 2013.gadā bija 36,9, kas ir mazāks par ES vidējo rādītāju 40,7. Sasniedzot plānoto MVK skaita pieaugumu līdz</w:t>
            </w:r>
            <w:r w:rsidRPr="00A01730">
              <w:rPr>
                <w:rFonts w:ascii="Times New Roman" w:hAnsi="Times New Roman"/>
                <w:sz w:val="18"/>
                <w:szCs w:val="18"/>
              </w:rPr>
              <w:t xml:space="preserve"> 80 000 Latvija sasniegtu ES vidējo rādītāju. </w:t>
            </w:r>
          </w:p>
          <w:p w14:paraId="572D2AB1" w14:textId="77777777" w:rsidR="00DE4A2D" w:rsidRPr="00A01730" w:rsidRDefault="00DE4A2D" w:rsidP="00DE4A2D">
            <w:pPr>
              <w:spacing w:after="0" w:line="240" w:lineRule="auto"/>
              <w:jc w:val="both"/>
              <w:rPr>
                <w:rFonts w:ascii="Times New Roman" w:hAnsi="Times New Roman"/>
                <w:sz w:val="18"/>
                <w:szCs w:val="18"/>
              </w:rPr>
            </w:pPr>
          </w:p>
          <w:p w14:paraId="7ACBAE46" w14:textId="77777777" w:rsidR="00DE4A2D" w:rsidRPr="00A01730" w:rsidRDefault="00DE4A2D" w:rsidP="00DE4A2D">
            <w:pPr>
              <w:spacing w:after="0" w:line="240" w:lineRule="auto"/>
              <w:jc w:val="both"/>
              <w:rPr>
                <w:rFonts w:ascii="Times New Roman" w:hAnsi="Times New Roman"/>
                <w:sz w:val="18"/>
                <w:szCs w:val="18"/>
              </w:rPr>
            </w:pPr>
          </w:p>
          <w:p w14:paraId="0BD6716E" w14:textId="4ED26A14" w:rsidR="00DE4A2D" w:rsidRPr="00A01730" w:rsidRDefault="00DE4A2D" w:rsidP="00DE4A2D">
            <w:pPr>
              <w:spacing w:after="0" w:line="240" w:lineRule="auto"/>
              <w:jc w:val="both"/>
              <w:rPr>
                <w:rFonts w:ascii="Times New Roman" w:eastAsia="Times New Roman" w:hAnsi="Times New Roman"/>
                <w:bCs/>
                <w:color w:val="000000" w:themeColor="text1"/>
                <w:sz w:val="18"/>
                <w:szCs w:val="18"/>
              </w:rPr>
            </w:pPr>
            <w:r w:rsidRPr="00A01730">
              <w:rPr>
                <w:rFonts w:ascii="Times New Roman" w:hAnsi="Times New Roman"/>
                <w:i/>
                <w:sz w:val="18"/>
                <w:szCs w:val="18"/>
              </w:rPr>
              <w:t>Nosaukums un mērvienība</w:t>
            </w:r>
            <w:r w:rsidRPr="00A01730">
              <w:rPr>
                <w:rFonts w:ascii="Times New Roman" w:hAnsi="Times New Roman"/>
                <w:sz w:val="18"/>
                <w:szCs w:val="18"/>
              </w:rPr>
              <w:t xml:space="preserve">: </w:t>
            </w:r>
            <w:r w:rsidR="00477905" w:rsidRPr="00A01730">
              <w:rPr>
                <w:rFonts w:ascii="Times New Roman" w:eastAsia="Times New Roman" w:hAnsi="Times New Roman"/>
                <w:b/>
                <w:bCs/>
                <w:color w:val="000000" w:themeColor="text1"/>
                <w:sz w:val="18"/>
                <w:szCs w:val="18"/>
                <w:u w:val="single"/>
              </w:rPr>
              <w:t>r.13.1.1.b MVK produktivitāte uz vienu nodarbināto, EUR (2010.gada salīdzināmajās cenās)</w:t>
            </w:r>
          </w:p>
          <w:p w14:paraId="793C6EF5" w14:textId="77777777" w:rsidR="00477905" w:rsidRPr="002E136F" w:rsidRDefault="00477905" w:rsidP="00DE4A2D">
            <w:pPr>
              <w:spacing w:after="0" w:line="240" w:lineRule="auto"/>
              <w:jc w:val="both"/>
              <w:rPr>
                <w:rFonts w:ascii="Times New Roman" w:hAnsi="Times New Roman"/>
                <w:sz w:val="18"/>
                <w:szCs w:val="18"/>
              </w:rPr>
            </w:pPr>
          </w:p>
          <w:p w14:paraId="3CCA473A" w14:textId="77777777" w:rsidR="00DE4A2D" w:rsidRPr="00A01730" w:rsidRDefault="00DE4A2D" w:rsidP="00DE4A2D">
            <w:pPr>
              <w:spacing w:after="0" w:line="240" w:lineRule="auto"/>
              <w:jc w:val="both"/>
              <w:rPr>
                <w:rFonts w:ascii="Times New Roman" w:hAnsi="Times New Roman"/>
                <w:sz w:val="18"/>
                <w:szCs w:val="18"/>
              </w:rPr>
            </w:pPr>
            <w:r w:rsidRPr="00A01730">
              <w:rPr>
                <w:rFonts w:ascii="Times New Roman" w:hAnsi="Times New Roman"/>
                <w:i/>
                <w:sz w:val="18"/>
                <w:szCs w:val="18"/>
              </w:rPr>
              <w:t>Definīcija:</w:t>
            </w:r>
            <w:r w:rsidRPr="00A01730">
              <w:rPr>
                <w:rFonts w:ascii="Times New Roman" w:hAnsi="Times New Roman"/>
                <w:sz w:val="18"/>
                <w:szCs w:val="18"/>
              </w:rPr>
              <w:t xml:space="preserve"> pievienotā vērtība uz vienu nodarbināto personu. </w:t>
            </w:r>
          </w:p>
          <w:p w14:paraId="371B53BD" w14:textId="77777777" w:rsidR="00DE4A2D" w:rsidRPr="00A01730" w:rsidRDefault="00DE4A2D" w:rsidP="00DE4A2D">
            <w:pPr>
              <w:spacing w:after="0" w:line="240" w:lineRule="auto"/>
              <w:jc w:val="both"/>
              <w:rPr>
                <w:rFonts w:ascii="Times New Roman" w:hAnsi="Times New Roman"/>
                <w:sz w:val="18"/>
                <w:szCs w:val="18"/>
              </w:rPr>
            </w:pPr>
          </w:p>
          <w:p w14:paraId="2E684111" w14:textId="77777777" w:rsidR="00DE4A2D" w:rsidRPr="00A01730" w:rsidRDefault="00DE4A2D" w:rsidP="00DE4A2D">
            <w:pPr>
              <w:spacing w:after="0" w:line="240" w:lineRule="auto"/>
              <w:jc w:val="both"/>
              <w:rPr>
                <w:rFonts w:ascii="Times New Roman" w:hAnsi="Times New Roman"/>
                <w:sz w:val="18"/>
                <w:szCs w:val="18"/>
              </w:rPr>
            </w:pPr>
            <w:r w:rsidRPr="00A01730">
              <w:rPr>
                <w:rFonts w:ascii="Times New Roman" w:hAnsi="Times New Roman"/>
                <w:i/>
                <w:sz w:val="18"/>
                <w:szCs w:val="18"/>
              </w:rPr>
              <w:t>Bāzes vērtība un tās noteikšanas gads:</w:t>
            </w:r>
            <w:r w:rsidRPr="00A01730">
              <w:rPr>
                <w:rFonts w:ascii="Times New Roman" w:hAnsi="Times New Roman"/>
                <w:sz w:val="18"/>
                <w:szCs w:val="18"/>
              </w:rPr>
              <w:t xml:space="preserve"> (2013) 12 196 EUR 2010.gada salīdzināmajās cenās</w:t>
            </w:r>
          </w:p>
          <w:p w14:paraId="709506FC" w14:textId="77777777" w:rsidR="00DE4A2D" w:rsidRPr="00A01730" w:rsidRDefault="00DE4A2D" w:rsidP="00DE4A2D">
            <w:pPr>
              <w:spacing w:after="0" w:line="240" w:lineRule="auto"/>
              <w:jc w:val="both"/>
              <w:rPr>
                <w:rFonts w:ascii="Times New Roman" w:hAnsi="Times New Roman"/>
                <w:sz w:val="18"/>
                <w:szCs w:val="18"/>
              </w:rPr>
            </w:pPr>
          </w:p>
          <w:p w14:paraId="2039DB46" w14:textId="3E8078FC" w:rsidR="00DE4A2D" w:rsidRPr="002E136F" w:rsidRDefault="00DE4A2D" w:rsidP="00DE4A2D">
            <w:pPr>
              <w:spacing w:after="0" w:line="240" w:lineRule="auto"/>
              <w:jc w:val="both"/>
              <w:rPr>
                <w:rFonts w:ascii="Times New Roman" w:hAnsi="Times New Roman"/>
                <w:sz w:val="18"/>
                <w:szCs w:val="18"/>
              </w:rPr>
            </w:pPr>
            <w:r w:rsidRPr="00A01730">
              <w:rPr>
                <w:rFonts w:ascii="Times New Roman" w:hAnsi="Times New Roman"/>
                <w:i/>
                <w:sz w:val="18"/>
                <w:szCs w:val="18"/>
              </w:rPr>
              <w:t>Datu avots:</w:t>
            </w:r>
            <w:r w:rsidRPr="00A01730">
              <w:rPr>
                <w:rFonts w:ascii="Times New Roman" w:hAnsi="Times New Roman"/>
                <w:sz w:val="18"/>
                <w:szCs w:val="18"/>
              </w:rPr>
              <w:t xml:space="preserve"> </w:t>
            </w:r>
            <w:r w:rsidR="00477905" w:rsidRPr="00A01730">
              <w:rPr>
                <w:rFonts w:ascii="Times New Roman" w:eastAsia="Times New Roman" w:hAnsi="Times New Roman"/>
                <w:bCs/>
                <w:color w:val="000000" w:themeColor="text1"/>
                <w:sz w:val="18"/>
                <w:szCs w:val="18"/>
              </w:rPr>
              <w:t>Eiropas MVK ikgadējais ziņojums</w:t>
            </w:r>
          </w:p>
          <w:p w14:paraId="669DCB4B" w14:textId="77777777" w:rsidR="00DE4A2D" w:rsidRPr="00A01730" w:rsidRDefault="00DE4A2D" w:rsidP="00DE4A2D">
            <w:pPr>
              <w:spacing w:after="0" w:line="240" w:lineRule="auto"/>
              <w:jc w:val="both"/>
              <w:rPr>
                <w:rFonts w:ascii="Times New Roman" w:hAnsi="Times New Roman"/>
                <w:sz w:val="18"/>
                <w:szCs w:val="18"/>
              </w:rPr>
            </w:pPr>
          </w:p>
          <w:p w14:paraId="4E8CE54C" w14:textId="77777777" w:rsidR="00DE4A2D" w:rsidRPr="00A01730" w:rsidRDefault="00DE4A2D" w:rsidP="00DE4A2D">
            <w:pPr>
              <w:spacing w:after="0" w:line="240" w:lineRule="auto"/>
              <w:jc w:val="both"/>
              <w:rPr>
                <w:rFonts w:ascii="Times New Roman" w:hAnsi="Times New Roman"/>
                <w:sz w:val="18"/>
                <w:szCs w:val="18"/>
              </w:rPr>
            </w:pPr>
            <w:r w:rsidRPr="00A01730">
              <w:rPr>
                <w:rFonts w:ascii="Times New Roman" w:hAnsi="Times New Roman"/>
                <w:i/>
                <w:sz w:val="18"/>
                <w:szCs w:val="18"/>
              </w:rPr>
              <w:lastRenderedPageBreak/>
              <w:t>Apkopošanas biežums un ieguves metodoloģija</w:t>
            </w:r>
            <w:r w:rsidRPr="00A01730">
              <w:rPr>
                <w:rFonts w:ascii="Times New Roman" w:hAnsi="Times New Roman"/>
                <w:sz w:val="18"/>
                <w:szCs w:val="18"/>
              </w:rPr>
              <w:t>: reizi gadā, pieprasot informāciju CSP</w:t>
            </w:r>
          </w:p>
          <w:p w14:paraId="0E45616A" w14:textId="77777777" w:rsidR="00DE4A2D" w:rsidRPr="00A01730" w:rsidRDefault="00DE4A2D" w:rsidP="00DE4A2D">
            <w:pPr>
              <w:spacing w:after="0" w:line="240" w:lineRule="auto"/>
              <w:jc w:val="both"/>
              <w:rPr>
                <w:rFonts w:ascii="Times New Roman" w:hAnsi="Times New Roman"/>
                <w:sz w:val="18"/>
                <w:szCs w:val="18"/>
              </w:rPr>
            </w:pPr>
          </w:p>
          <w:p w14:paraId="16B6D9F4" w14:textId="5B825B64" w:rsidR="00DE4A2D" w:rsidRDefault="00DE4A2D" w:rsidP="00DE4A2D">
            <w:pPr>
              <w:spacing w:after="0" w:line="240" w:lineRule="auto"/>
              <w:jc w:val="both"/>
              <w:rPr>
                <w:rFonts w:ascii="Times New Roman" w:hAnsi="Times New Roman"/>
                <w:sz w:val="18"/>
                <w:szCs w:val="18"/>
              </w:rPr>
            </w:pPr>
            <w:r w:rsidRPr="00A01730">
              <w:rPr>
                <w:rFonts w:ascii="Times New Roman" w:hAnsi="Times New Roman"/>
                <w:i/>
                <w:sz w:val="18"/>
                <w:szCs w:val="18"/>
              </w:rPr>
              <w:t>Mērķis 2023</w:t>
            </w:r>
            <w:r w:rsidRPr="00A01730">
              <w:rPr>
                <w:rFonts w:ascii="Times New Roman" w:hAnsi="Times New Roman"/>
                <w:sz w:val="18"/>
                <w:szCs w:val="18"/>
              </w:rPr>
              <w:t>: 16 757 EUR, 2010.gada salīdzināmajās cenās</w:t>
            </w:r>
          </w:p>
          <w:p w14:paraId="32F8E731" w14:textId="11CA10CE" w:rsidR="00AB7427" w:rsidRDefault="00AB7427" w:rsidP="00DE4A2D">
            <w:pPr>
              <w:spacing w:after="0" w:line="240" w:lineRule="auto"/>
              <w:jc w:val="both"/>
              <w:rPr>
                <w:rFonts w:ascii="Times New Roman" w:hAnsi="Times New Roman"/>
                <w:sz w:val="18"/>
                <w:szCs w:val="18"/>
              </w:rPr>
            </w:pPr>
          </w:p>
          <w:p w14:paraId="63064119" w14:textId="77777777" w:rsidR="00630F78" w:rsidRPr="004D1EF8" w:rsidRDefault="00630F78" w:rsidP="00AB7427">
            <w:pPr>
              <w:spacing w:after="0" w:line="240" w:lineRule="auto"/>
              <w:jc w:val="both"/>
              <w:rPr>
                <w:rFonts w:ascii="Times New Roman" w:hAnsi="Times New Roman"/>
                <w:sz w:val="18"/>
                <w:szCs w:val="18"/>
              </w:rPr>
            </w:pPr>
          </w:p>
          <w:p w14:paraId="2716C04A" w14:textId="0C83B9DC" w:rsidR="00AB7427" w:rsidRPr="00702641" w:rsidRDefault="00AB7427" w:rsidP="00AB7427">
            <w:pPr>
              <w:spacing w:after="0" w:line="240" w:lineRule="auto"/>
              <w:jc w:val="both"/>
              <w:rPr>
                <w:rFonts w:ascii="Times New Roman" w:hAnsi="Times New Roman"/>
                <w:sz w:val="18"/>
                <w:szCs w:val="18"/>
              </w:rPr>
            </w:pPr>
            <w:r w:rsidRPr="004D1EF8">
              <w:rPr>
                <w:rFonts w:ascii="Times New Roman" w:hAnsi="Times New Roman"/>
                <w:sz w:val="18"/>
                <w:szCs w:val="18"/>
              </w:rPr>
              <w:t xml:space="preserve">Apjoms, kas sasniedzams </w:t>
            </w:r>
            <w:r w:rsidR="003A2742">
              <w:rPr>
                <w:rFonts w:ascii="Times New Roman" w:hAnsi="Times New Roman"/>
                <w:sz w:val="18"/>
                <w:szCs w:val="18"/>
              </w:rPr>
              <w:t xml:space="preserve"> līdz</w:t>
            </w:r>
            <w:r w:rsidRPr="004D1EF8">
              <w:rPr>
                <w:rFonts w:ascii="Times New Roman" w:hAnsi="Times New Roman"/>
                <w:sz w:val="18"/>
                <w:szCs w:val="18"/>
              </w:rPr>
              <w:t xml:space="preserve"> 202</w:t>
            </w:r>
            <w:r w:rsidR="003A2742">
              <w:rPr>
                <w:rFonts w:ascii="Times New Roman" w:hAnsi="Times New Roman"/>
                <w:sz w:val="18"/>
                <w:szCs w:val="18"/>
              </w:rPr>
              <w:t>3</w:t>
            </w:r>
            <w:r w:rsidRPr="004D1EF8">
              <w:rPr>
                <w:rFonts w:ascii="Times New Roman" w:hAnsi="Times New Roman"/>
                <w:sz w:val="18"/>
                <w:szCs w:val="18"/>
              </w:rPr>
              <w:t>.gada</w:t>
            </w:r>
            <w:r w:rsidR="003A2742">
              <w:rPr>
                <w:rFonts w:ascii="Times New Roman" w:hAnsi="Times New Roman"/>
                <w:sz w:val="18"/>
                <w:szCs w:val="18"/>
              </w:rPr>
              <w:t>m</w:t>
            </w:r>
            <w:r w:rsidRPr="004D1EF8">
              <w:rPr>
                <w:rFonts w:ascii="Times New Roman" w:hAnsi="Times New Roman"/>
                <w:sz w:val="18"/>
                <w:szCs w:val="18"/>
              </w:rPr>
              <w:t xml:space="preserve">: </w:t>
            </w:r>
            <w:r>
              <w:rPr>
                <w:rFonts w:ascii="Times New Roman" w:hAnsi="Times New Roman"/>
                <w:sz w:val="18"/>
                <w:szCs w:val="18"/>
              </w:rPr>
              <w:t>16 757 EUR</w:t>
            </w:r>
          </w:p>
          <w:p w14:paraId="0FF365B0" w14:textId="74EE7F6B" w:rsidR="00AB7427" w:rsidRPr="00A01730" w:rsidRDefault="00630F78" w:rsidP="00DE4A2D">
            <w:pPr>
              <w:spacing w:after="0" w:line="240" w:lineRule="auto"/>
              <w:jc w:val="both"/>
              <w:rPr>
                <w:rFonts w:ascii="Times New Roman" w:hAnsi="Times New Roman"/>
                <w:sz w:val="18"/>
                <w:szCs w:val="18"/>
              </w:rPr>
            </w:pPr>
            <w:r>
              <w:rPr>
                <w:rFonts w:ascii="Times New Roman" w:hAnsi="Times New Roman"/>
                <w:sz w:val="18"/>
                <w:szCs w:val="18"/>
              </w:rPr>
              <w:t xml:space="preserve">Plānots, ka ar EK 2022.gada piešķīrumu tiks sasniegts mērķis un </w:t>
            </w:r>
            <w:r w:rsidRPr="007805C4">
              <w:rPr>
                <w:rFonts w:ascii="Times New Roman" w:hAnsi="Times New Roman"/>
                <w:sz w:val="18"/>
                <w:szCs w:val="18"/>
              </w:rPr>
              <w:t>MVK produktivitāte uz vienu nodarbināto, EUR (2010.gada salīdzināmajās cenās)</w:t>
            </w:r>
            <w:r>
              <w:rPr>
                <w:rFonts w:ascii="Times New Roman" w:hAnsi="Times New Roman"/>
                <w:sz w:val="18"/>
                <w:szCs w:val="18"/>
              </w:rPr>
              <w:t xml:space="preserve"> būs 16 757 EUR. </w:t>
            </w:r>
          </w:p>
          <w:p w14:paraId="7FD43330" w14:textId="77777777" w:rsidR="00DE4A2D" w:rsidRPr="00A01730" w:rsidRDefault="00DE4A2D" w:rsidP="00DE4A2D">
            <w:pPr>
              <w:spacing w:after="0" w:line="240" w:lineRule="auto"/>
              <w:jc w:val="both"/>
              <w:rPr>
                <w:rFonts w:ascii="Times New Roman" w:hAnsi="Times New Roman"/>
                <w:sz w:val="18"/>
                <w:szCs w:val="18"/>
              </w:rPr>
            </w:pPr>
          </w:p>
          <w:p w14:paraId="0ABCB892" w14:textId="77777777" w:rsidR="00DE4A2D" w:rsidRPr="00A01730" w:rsidRDefault="00DE4A2D" w:rsidP="00DE4A2D">
            <w:pPr>
              <w:spacing w:after="0" w:line="240" w:lineRule="auto"/>
              <w:jc w:val="both"/>
              <w:rPr>
                <w:rFonts w:ascii="Times New Roman" w:hAnsi="Times New Roman"/>
                <w:sz w:val="18"/>
                <w:szCs w:val="18"/>
              </w:rPr>
            </w:pPr>
            <w:r w:rsidRPr="00A01730">
              <w:rPr>
                <w:rFonts w:ascii="Times New Roman" w:hAnsi="Times New Roman"/>
                <w:sz w:val="18"/>
                <w:szCs w:val="18"/>
              </w:rPr>
              <w:t xml:space="preserve">Mērķa vērtības noteikšanas principi/metodoloģija: saskaņā ar Ekonomikas ministrijas Informatīvo ziņojumu par darba tirgus </w:t>
            </w:r>
          </w:p>
          <w:p w14:paraId="05015D88" w14:textId="77777777" w:rsidR="00DE4A2D" w:rsidRPr="00A01730" w:rsidRDefault="00DE4A2D" w:rsidP="00DE4A2D">
            <w:pPr>
              <w:spacing w:after="0" w:line="240" w:lineRule="auto"/>
              <w:jc w:val="both"/>
              <w:rPr>
                <w:rFonts w:ascii="Times New Roman" w:hAnsi="Times New Roman"/>
                <w:sz w:val="18"/>
                <w:szCs w:val="18"/>
              </w:rPr>
            </w:pPr>
            <w:r w:rsidRPr="00A01730">
              <w:rPr>
                <w:rFonts w:ascii="Times New Roman" w:hAnsi="Times New Roman"/>
                <w:sz w:val="18"/>
                <w:szCs w:val="18"/>
              </w:rPr>
              <w:t>vidēja un ilgtermiņa prognozēm, kur prognozēts, ka darbaspēka produktivitātes pieaugums 2020.gadā, salīdzinājumā ar 2012.gadu, būs 37.4% (http://em.gov.lv/images/modules/items/tsdep/darba_tirgus/EMZino_21062013.pdf 3.7.sttēls.</w:t>
            </w:r>
          </w:p>
          <w:p w14:paraId="05871F7B" w14:textId="77777777" w:rsidR="008F0234" w:rsidRPr="00A01730" w:rsidRDefault="00DE4A2D" w:rsidP="00DE4A2D">
            <w:pPr>
              <w:spacing w:after="0" w:line="240" w:lineRule="auto"/>
              <w:jc w:val="both"/>
              <w:rPr>
                <w:rFonts w:ascii="Times New Roman" w:hAnsi="Times New Roman"/>
                <w:sz w:val="18"/>
                <w:szCs w:val="18"/>
              </w:rPr>
            </w:pPr>
            <w:r w:rsidRPr="00A01730">
              <w:rPr>
                <w:rFonts w:ascii="Times New Roman" w:hAnsi="Times New Roman"/>
                <w:sz w:val="18"/>
                <w:szCs w:val="18"/>
              </w:rPr>
              <w:t xml:space="preserve"> </w:t>
            </w:r>
          </w:p>
          <w:p w14:paraId="039658B3" w14:textId="3D1AE7E2" w:rsidR="00477905" w:rsidRPr="00A01730" w:rsidRDefault="00477905" w:rsidP="00477905">
            <w:pPr>
              <w:spacing w:after="0" w:line="240" w:lineRule="auto"/>
              <w:jc w:val="both"/>
              <w:rPr>
                <w:rFonts w:ascii="Times New Roman" w:eastAsia="Times New Roman" w:hAnsi="Times New Roman"/>
                <w:color w:val="000000" w:themeColor="text1"/>
                <w:sz w:val="18"/>
                <w:szCs w:val="18"/>
              </w:rPr>
            </w:pPr>
            <w:r w:rsidRPr="00A01730">
              <w:rPr>
                <w:rFonts w:ascii="Times New Roman" w:eastAsia="Times New Roman" w:hAnsi="Times New Roman"/>
                <w:color w:val="000000" w:themeColor="text1"/>
                <w:sz w:val="18"/>
                <w:szCs w:val="18"/>
              </w:rPr>
              <w:t>Vērtības nosakāmas atbilstoši 13.1.1. SAM “</w:t>
            </w:r>
            <w:r w:rsidRPr="00A01730">
              <w:rPr>
                <w:rFonts w:ascii="Times New Roman" w:hAnsi="Times New Roman"/>
                <w:color w:val="000000" w:themeColor="text1"/>
                <w:sz w:val="18"/>
                <w:szCs w:val="18"/>
              </w:rPr>
              <w:t>Atveseļošanas pasākumi ekonomikas nozarē</w:t>
            </w:r>
            <w:r w:rsidRPr="00A01730">
              <w:rPr>
                <w:rFonts w:ascii="Times New Roman" w:eastAsia="Times New Roman" w:hAnsi="Times New Roman"/>
                <w:color w:val="000000" w:themeColor="text1"/>
                <w:sz w:val="18"/>
                <w:szCs w:val="18"/>
              </w:rPr>
              <w:t>”  būtībai - Covid-19 pandēmijas krīzes seku pārvarēšanai, kuras tiks īstenotas ciešā sasaistē ar 3.1.1.SAM.</w:t>
            </w:r>
          </w:p>
          <w:p w14:paraId="39D57E47" w14:textId="77777777" w:rsidR="00477905" w:rsidRPr="00A01730" w:rsidRDefault="00477905" w:rsidP="00477905">
            <w:pPr>
              <w:spacing w:after="0" w:line="240" w:lineRule="auto"/>
              <w:jc w:val="both"/>
              <w:rPr>
                <w:rFonts w:ascii="Times New Roman" w:eastAsia="Times New Roman" w:hAnsi="Times New Roman"/>
                <w:color w:val="000000" w:themeColor="text1"/>
                <w:sz w:val="18"/>
                <w:szCs w:val="18"/>
              </w:rPr>
            </w:pPr>
          </w:p>
          <w:p w14:paraId="7E5F103F" w14:textId="4A825C45" w:rsidR="00477905" w:rsidRPr="002E136F" w:rsidRDefault="00477905" w:rsidP="00477905">
            <w:pPr>
              <w:spacing w:after="0" w:line="240" w:lineRule="auto"/>
              <w:jc w:val="both"/>
              <w:rPr>
                <w:rFonts w:ascii="Times New Roman" w:eastAsiaTheme="minorHAnsi" w:hAnsi="Times New Roman"/>
                <w:sz w:val="18"/>
                <w:szCs w:val="18"/>
              </w:rPr>
            </w:pPr>
            <w:r w:rsidRPr="00A01730">
              <w:rPr>
                <w:rFonts w:ascii="Times New Roman" w:hAnsi="Times New Roman"/>
                <w:sz w:val="18"/>
                <w:szCs w:val="18"/>
              </w:rPr>
              <w:t xml:space="preserve">Noteiktie rādītāji r.13.1.1.a, r.13.1.1.b ir ciešā sasaistē ar DP </w:t>
            </w:r>
            <w:r w:rsidRPr="00A01730">
              <w:rPr>
                <w:rFonts w:ascii="Times New Roman" w:hAnsi="Times New Roman"/>
                <w:i/>
                <w:iCs/>
                <w:sz w:val="18"/>
                <w:szCs w:val="18"/>
              </w:rPr>
              <w:t xml:space="preserve">Tabula Nr. 2.3.1. (1) noteiktajiem </w:t>
            </w:r>
            <w:r w:rsidRPr="00A01730">
              <w:rPr>
                <w:rFonts w:ascii="Times New Roman" w:hAnsi="Times New Roman"/>
                <w:sz w:val="18"/>
                <w:szCs w:val="18"/>
              </w:rPr>
              <w:t>ERAF specifiskajiem rezultāta rādītājiem un attiecīgi 13.1.1.SAM pasākumi tiks īstenoti ciešā sasaistē ar 3.1.1. SAM.</w:t>
            </w:r>
            <w:r w:rsidRPr="002E136F">
              <w:rPr>
                <w:rFonts w:ascii="Times New Roman" w:hAnsi="Times New Roman"/>
                <w:sz w:val="20"/>
                <w:szCs w:val="20"/>
              </w:rPr>
              <w:t xml:space="preserve"> </w:t>
            </w:r>
          </w:p>
        </w:tc>
        <w:tc>
          <w:tcPr>
            <w:tcW w:w="2054" w:type="pct"/>
          </w:tcPr>
          <w:p w14:paraId="5AC0A01D" w14:textId="2A0CBC1E" w:rsidR="0033207E" w:rsidRPr="00702641" w:rsidRDefault="0033207E" w:rsidP="0033207E">
            <w:pPr>
              <w:spacing w:after="0" w:line="240" w:lineRule="auto"/>
              <w:jc w:val="both"/>
              <w:rPr>
                <w:rFonts w:ascii="Times New Roman" w:eastAsia="Times New Roman" w:hAnsi="Times New Roman"/>
                <w:b/>
                <w:bCs/>
                <w:color w:val="000000" w:themeColor="text1"/>
                <w:sz w:val="18"/>
                <w:szCs w:val="18"/>
                <w:u w:val="single"/>
              </w:rPr>
            </w:pPr>
            <w:r w:rsidRPr="00702641">
              <w:rPr>
                <w:rFonts w:ascii="Times New Roman" w:hAnsi="Times New Roman"/>
                <w:b/>
                <w:bCs/>
                <w:sz w:val="18"/>
                <w:szCs w:val="18"/>
                <w:u w:val="single"/>
              </w:rPr>
              <w:lastRenderedPageBreak/>
              <w:t xml:space="preserve">IR 9 </w:t>
            </w:r>
            <w:r w:rsidRPr="00702641">
              <w:rPr>
                <w:rFonts w:ascii="Times New Roman" w:eastAsia="Times New Roman" w:hAnsi="Times New Roman"/>
                <w:b/>
                <w:bCs/>
                <w:i/>
                <w:iCs/>
                <w:color w:val="000000" w:themeColor="text1"/>
                <w:sz w:val="18"/>
                <w:szCs w:val="18"/>
                <w:u w:val="single"/>
              </w:rPr>
              <w:t xml:space="preserve">nosaukums un mērvienība: </w:t>
            </w:r>
            <w:r w:rsidR="002E136F" w:rsidRPr="00702641">
              <w:rPr>
                <w:rFonts w:ascii="Times New Roman" w:eastAsia="Times New Roman" w:hAnsi="Times New Roman"/>
                <w:b/>
                <w:bCs/>
                <w:color w:val="000000" w:themeColor="text1"/>
                <w:sz w:val="18"/>
                <w:szCs w:val="18"/>
                <w:u w:val="single"/>
              </w:rPr>
              <w:t>i.13.1.1.a (</w:t>
            </w:r>
            <w:r w:rsidRPr="00702641">
              <w:rPr>
                <w:rFonts w:ascii="Times New Roman" w:eastAsia="Times New Roman" w:hAnsi="Times New Roman"/>
                <w:b/>
                <w:bCs/>
                <w:color w:val="000000" w:themeColor="text1"/>
                <w:sz w:val="18"/>
                <w:szCs w:val="18"/>
                <w:u w:val="single"/>
              </w:rPr>
              <w:t>CV 26</w:t>
            </w:r>
            <w:r w:rsidR="002E136F" w:rsidRPr="00702641">
              <w:rPr>
                <w:rFonts w:ascii="Times New Roman" w:eastAsia="Times New Roman" w:hAnsi="Times New Roman"/>
                <w:b/>
                <w:bCs/>
                <w:color w:val="000000" w:themeColor="text1"/>
                <w:sz w:val="18"/>
                <w:szCs w:val="18"/>
                <w:u w:val="single"/>
              </w:rPr>
              <w:t>)</w:t>
            </w:r>
            <w:r w:rsidRPr="00702641">
              <w:rPr>
                <w:rFonts w:ascii="Times New Roman" w:eastAsia="Times New Roman" w:hAnsi="Times New Roman"/>
                <w:b/>
                <w:bCs/>
                <w:color w:val="000000" w:themeColor="text1"/>
                <w:sz w:val="18"/>
                <w:szCs w:val="18"/>
                <w:u w:val="single"/>
              </w:rPr>
              <w:t xml:space="preserve">  To komersantu skaits, kuri saņem finansiālu atbalstu, kas nav granti </w:t>
            </w:r>
          </w:p>
          <w:p w14:paraId="2ACB5E5D" w14:textId="7B6D8221" w:rsidR="0033207E" w:rsidRPr="00702641" w:rsidRDefault="0033207E" w:rsidP="0033207E">
            <w:pPr>
              <w:spacing w:after="0" w:line="240" w:lineRule="auto"/>
              <w:jc w:val="both"/>
              <w:rPr>
                <w:rFonts w:ascii="Times New Roman" w:eastAsia="Times New Roman" w:hAnsi="Times New Roman"/>
                <w:color w:val="000000" w:themeColor="text1"/>
                <w:sz w:val="18"/>
                <w:szCs w:val="18"/>
              </w:rPr>
            </w:pPr>
            <w:r w:rsidRPr="00702641">
              <w:rPr>
                <w:rFonts w:ascii="Times New Roman" w:eastAsia="Times New Roman" w:hAnsi="Times New Roman"/>
                <w:color w:val="000000" w:themeColor="text1"/>
                <w:sz w:val="18"/>
                <w:szCs w:val="18"/>
              </w:rPr>
              <w:t>Rādītājs saistīts ar 3.1.1.SAM</w:t>
            </w:r>
            <w:r w:rsidR="00EF07AC">
              <w:rPr>
                <w:rFonts w:ascii="Times New Roman" w:eastAsia="Times New Roman" w:hAnsi="Times New Roman"/>
                <w:color w:val="000000" w:themeColor="text1"/>
                <w:sz w:val="18"/>
                <w:szCs w:val="18"/>
              </w:rPr>
              <w:t xml:space="preserve">, </w:t>
            </w:r>
            <w:r w:rsidR="00A01278">
              <w:rPr>
                <w:rFonts w:ascii="Times New Roman" w:eastAsia="Times New Roman" w:hAnsi="Times New Roman"/>
                <w:color w:val="000000" w:themeColor="text1"/>
                <w:sz w:val="18"/>
                <w:szCs w:val="18"/>
              </w:rPr>
              <w:t>, tā kā finansējums tiks ieguldīts šajā SAM</w:t>
            </w:r>
          </w:p>
          <w:p w14:paraId="56EFE9DB" w14:textId="77777777" w:rsidR="0033207E" w:rsidRPr="00702641" w:rsidRDefault="0033207E" w:rsidP="0033207E">
            <w:pPr>
              <w:spacing w:after="0" w:line="240" w:lineRule="auto"/>
              <w:jc w:val="both"/>
              <w:rPr>
                <w:rFonts w:ascii="Times New Roman" w:eastAsia="Times New Roman" w:hAnsi="Times New Roman"/>
                <w:b/>
                <w:bCs/>
                <w:color w:val="000000" w:themeColor="text1"/>
                <w:sz w:val="18"/>
                <w:szCs w:val="18"/>
              </w:rPr>
            </w:pPr>
          </w:p>
          <w:p w14:paraId="4CEB48C1" w14:textId="6207A1A1" w:rsidR="0033207E" w:rsidRPr="00702641" w:rsidRDefault="0033207E" w:rsidP="0033207E">
            <w:pPr>
              <w:spacing w:after="0" w:line="240" w:lineRule="auto"/>
              <w:jc w:val="both"/>
              <w:rPr>
                <w:rFonts w:ascii="Times New Roman" w:hAnsi="Times New Roman"/>
                <w:i/>
                <w:iCs/>
                <w:sz w:val="18"/>
                <w:szCs w:val="18"/>
              </w:rPr>
            </w:pPr>
            <w:r w:rsidRPr="00702641">
              <w:rPr>
                <w:rFonts w:ascii="Times New Roman" w:hAnsi="Times New Roman"/>
                <w:i/>
                <w:iCs/>
                <w:sz w:val="18"/>
                <w:szCs w:val="18"/>
              </w:rPr>
              <w:t>Definīcija</w:t>
            </w:r>
            <w:r w:rsidRPr="002640C5">
              <w:rPr>
                <w:rFonts w:ascii="Times New Roman" w:hAnsi="Times New Roman"/>
                <w:i/>
                <w:iCs/>
                <w:sz w:val="18"/>
                <w:szCs w:val="18"/>
                <w:vertAlign w:val="superscript"/>
              </w:rPr>
              <w:fldChar w:fldCharType="begin"/>
            </w:r>
            <w:r w:rsidRPr="00702641">
              <w:rPr>
                <w:rFonts w:ascii="Times New Roman" w:hAnsi="Times New Roman"/>
                <w:i/>
                <w:iCs/>
                <w:sz w:val="18"/>
                <w:szCs w:val="18"/>
                <w:vertAlign w:val="superscript"/>
              </w:rPr>
              <w:instrText xml:space="preserve"> NOTEREF _Ref526335223 \h  \* MERGEFORMAT </w:instrText>
            </w:r>
            <w:r w:rsidRPr="002640C5">
              <w:rPr>
                <w:rFonts w:ascii="Times New Roman" w:hAnsi="Times New Roman"/>
                <w:i/>
                <w:iCs/>
                <w:sz w:val="18"/>
                <w:szCs w:val="18"/>
                <w:vertAlign w:val="superscript"/>
              </w:rPr>
            </w:r>
            <w:r w:rsidRPr="002640C5">
              <w:rPr>
                <w:rFonts w:ascii="Times New Roman" w:hAnsi="Times New Roman"/>
                <w:i/>
                <w:iCs/>
                <w:sz w:val="18"/>
                <w:szCs w:val="18"/>
                <w:vertAlign w:val="superscript"/>
              </w:rPr>
              <w:fldChar w:fldCharType="separate"/>
            </w:r>
            <w:r w:rsidRPr="00702641">
              <w:rPr>
                <w:rFonts w:ascii="Times New Roman" w:hAnsi="Times New Roman"/>
                <w:i/>
                <w:iCs/>
                <w:sz w:val="18"/>
                <w:szCs w:val="18"/>
                <w:vertAlign w:val="superscript"/>
              </w:rPr>
              <w:t>2</w:t>
            </w:r>
            <w:r w:rsidRPr="002640C5">
              <w:rPr>
                <w:rFonts w:ascii="Times New Roman" w:hAnsi="Times New Roman"/>
                <w:i/>
                <w:iCs/>
                <w:sz w:val="18"/>
                <w:szCs w:val="18"/>
                <w:vertAlign w:val="superscript"/>
              </w:rPr>
              <w:fldChar w:fldCharType="end"/>
            </w:r>
            <w:r w:rsidRPr="00702641">
              <w:rPr>
                <w:rFonts w:ascii="Times New Roman" w:hAnsi="Times New Roman"/>
                <w:i/>
                <w:iCs/>
                <w:sz w:val="18"/>
                <w:szCs w:val="18"/>
              </w:rPr>
              <w:t>:</w:t>
            </w:r>
            <w:r w:rsidRPr="00702641">
              <w:rPr>
                <w:rFonts w:ascii="Times New Roman" w:hAnsi="Times New Roman"/>
                <w:sz w:val="18"/>
                <w:szCs w:val="18"/>
              </w:rPr>
              <w:t xml:space="preserve"> Kopējais rādītājs, norādot datus par 3.1.1.1. pasākumu un MVU aizdevumiem (3.1.1.7.pasākumu).</w:t>
            </w:r>
          </w:p>
          <w:p w14:paraId="7952F7EA" w14:textId="77777777" w:rsidR="0033207E" w:rsidRPr="00702641" w:rsidRDefault="0033207E" w:rsidP="0033207E">
            <w:pPr>
              <w:spacing w:after="0" w:line="240" w:lineRule="auto"/>
              <w:jc w:val="both"/>
              <w:rPr>
                <w:rFonts w:ascii="Times New Roman" w:hAnsi="Times New Roman"/>
                <w:sz w:val="18"/>
                <w:szCs w:val="18"/>
              </w:rPr>
            </w:pPr>
          </w:p>
          <w:p w14:paraId="7EFDCA1C" w14:textId="77777777" w:rsidR="0033207E" w:rsidRPr="00702641" w:rsidRDefault="0033207E" w:rsidP="0033207E">
            <w:pPr>
              <w:spacing w:after="0" w:line="240" w:lineRule="auto"/>
              <w:jc w:val="both"/>
              <w:rPr>
                <w:rFonts w:ascii="Times New Roman" w:hAnsi="Times New Roman"/>
                <w:sz w:val="18"/>
                <w:szCs w:val="18"/>
              </w:rPr>
            </w:pPr>
            <w:r w:rsidRPr="00702641">
              <w:rPr>
                <w:rFonts w:ascii="Times New Roman" w:hAnsi="Times New Roman"/>
                <w:i/>
                <w:sz w:val="18"/>
                <w:szCs w:val="18"/>
              </w:rPr>
              <w:t>Datu avots</w:t>
            </w:r>
            <w:r w:rsidRPr="00702641">
              <w:rPr>
                <w:rFonts w:ascii="Times New Roman" w:hAnsi="Times New Roman"/>
                <w:sz w:val="18"/>
                <w:szCs w:val="18"/>
              </w:rPr>
              <w:t>: Projektu dati</w:t>
            </w:r>
          </w:p>
          <w:p w14:paraId="693F88FC" w14:textId="77777777" w:rsidR="0033207E" w:rsidRPr="00702641" w:rsidRDefault="0033207E" w:rsidP="0033207E">
            <w:pPr>
              <w:spacing w:after="0" w:line="240" w:lineRule="auto"/>
              <w:jc w:val="both"/>
              <w:rPr>
                <w:rFonts w:ascii="Times New Roman" w:hAnsi="Times New Roman"/>
                <w:sz w:val="18"/>
                <w:szCs w:val="18"/>
              </w:rPr>
            </w:pPr>
          </w:p>
          <w:p w14:paraId="45770C47" w14:textId="77777777" w:rsidR="0033207E" w:rsidRPr="00702641" w:rsidRDefault="0033207E" w:rsidP="0033207E">
            <w:pPr>
              <w:spacing w:after="0" w:line="240" w:lineRule="auto"/>
              <w:jc w:val="both"/>
              <w:rPr>
                <w:rFonts w:ascii="Times New Roman" w:eastAsia="Times New Roman" w:hAnsi="Times New Roman"/>
                <w:color w:val="000000" w:themeColor="text1"/>
                <w:sz w:val="18"/>
                <w:szCs w:val="18"/>
              </w:rPr>
            </w:pPr>
            <w:r w:rsidRPr="00702641">
              <w:rPr>
                <w:rFonts w:ascii="Times New Roman" w:hAnsi="Times New Roman"/>
                <w:i/>
                <w:sz w:val="18"/>
                <w:szCs w:val="18"/>
              </w:rPr>
              <w:t>Apkopošanas biežums un ieguves metodoloģija:</w:t>
            </w:r>
            <w:r w:rsidRPr="00702641">
              <w:rPr>
                <w:rFonts w:ascii="Times New Roman" w:hAnsi="Times New Roman"/>
                <w:sz w:val="18"/>
                <w:szCs w:val="18"/>
              </w:rPr>
              <w:t xml:space="preserve"> katru gadu, apkopojot informāciju no Altum maksājuma pieprasījuma, kas sniegts par iepriekšējā gada 4.ceturksni/ KPVIS sistēmas</w:t>
            </w:r>
          </w:p>
          <w:p w14:paraId="031EECBE" w14:textId="77777777" w:rsidR="0033207E" w:rsidRPr="00702641" w:rsidRDefault="0033207E" w:rsidP="0033207E">
            <w:pPr>
              <w:pStyle w:val="ListParagraph"/>
              <w:spacing w:after="0" w:line="240" w:lineRule="auto"/>
              <w:jc w:val="both"/>
              <w:rPr>
                <w:rFonts w:ascii="Times New Roman" w:hAnsi="Times New Roman"/>
                <w:color w:val="000000" w:themeColor="text1"/>
                <w:sz w:val="18"/>
                <w:szCs w:val="18"/>
              </w:rPr>
            </w:pPr>
          </w:p>
          <w:p w14:paraId="546CEC8B" w14:textId="77777777" w:rsidR="0033207E" w:rsidRPr="00702641" w:rsidRDefault="0033207E" w:rsidP="0033207E">
            <w:pPr>
              <w:spacing w:after="0" w:line="240" w:lineRule="auto"/>
              <w:jc w:val="both"/>
              <w:rPr>
                <w:rFonts w:ascii="Times New Roman" w:hAnsi="Times New Roman"/>
                <w:sz w:val="18"/>
                <w:szCs w:val="18"/>
              </w:rPr>
            </w:pPr>
            <w:r w:rsidRPr="00702641">
              <w:rPr>
                <w:rFonts w:ascii="Times New Roman" w:eastAsiaTheme="minorHAnsi" w:hAnsi="Times New Roman"/>
                <w:i/>
                <w:sz w:val="18"/>
                <w:szCs w:val="18"/>
              </w:rPr>
              <w:t>Darbība, kas liek uzskatīt mērķa vērtību par izpildītu:</w:t>
            </w:r>
            <w:r w:rsidRPr="00702641">
              <w:rPr>
                <w:rFonts w:ascii="Times New Roman" w:eastAsiaTheme="minorHAnsi" w:hAnsi="Times New Roman"/>
                <w:sz w:val="18"/>
                <w:szCs w:val="18"/>
              </w:rPr>
              <w:t xml:space="preserve"> </w:t>
            </w:r>
            <w:r w:rsidRPr="00702641">
              <w:rPr>
                <w:rFonts w:ascii="Times New Roman" w:hAnsi="Times New Roman"/>
                <w:sz w:val="18"/>
                <w:szCs w:val="18"/>
              </w:rPr>
              <w:t xml:space="preserve">rādītāju uzskaita, norādot unikālos gala saņēmējus (saimnieciskās darbības veicējus), ar kuriem noslēgts līgums un kuriem veikts vismaz viens maksājums, aizdevuma garantiju gadījumā – ir izsniegta garantiju vēstule. </w:t>
            </w:r>
          </w:p>
          <w:p w14:paraId="71BB8130" w14:textId="77777777" w:rsidR="0033207E" w:rsidRPr="00702641" w:rsidRDefault="0033207E" w:rsidP="0033207E">
            <w:pPr>
              <w:spacing w:after="0" w:line="240" w:lineRule="auto"/>
              <w:jc w:val="both"/>
              <w:rPr>
                <w:rFonts w:ascii="Times New Roman" w:hAnsi="Times New Roman"/>
                <w:sz w:val="18"/>
                <w:szCs w:val="18"/>
              </w:rPr>
            </w:pPr>
          </w:p>
          <w:p w14:paraId="68FD297F" w14:textId="77777777" w:rsidR="0033207E" w:rsidRPr="00702641" w:rsidRDefault="0033207E" w:rsidP="0033207E">
            <w:pPr>
              <w:spacing w:after="0" w:line="240" w:lineRule="auto"/>
              <w:jc w:val="both"/>
              <w:rPr>
                <w:rFonts w:ascii="Times New Roman" w:hAnsi="Times New Roman"/>
                <w:sz w:val="18"/>
                <w:szCs w:val="18"/>
              </w:rPr>
            </w:pPr>
          </w:p>
          <w:p w14:paraId="532DC94C" w14:textId="347DF18F" w:rsidR="0033207E" w:rsidRDefault="0033207E" w:rsidP="0033207E">
            <w:pPr>
              <w:spacing w:after="0" w:line="240" w:lineRule="auto"/>
              <w:jc w:val="both"/>
              <w:rPr>
                <w:rFonts w:ascii="Times New Roman" w:hAnsi="Times New Roman"/>
                <w:sz w:val="18"/>
                <w:szCs w:val="18"/>
              </w:rPr>
            </w:pPr>
            <w:r w:rsidRPr="00702641">
              <w:rPr>
                <w:rFonts w:ascii="Times New Roman" w:hAnsi="Times New Roman"/>
                <w:i/>
                <w:iCs/>
                <w:sz w:val="18"/>
                <w:szCs w:val="18"/>
              </w:rPr>
              <w:t>Mērķis 2023</w:t>
            </w:r>
            <w:r w:rsidRPr="00702641">
              <w:rPr>
                <w:rFonts w:ascii="Times New Roman" w:hAnsi="Times New Roman"/>
                <w:sz w:val="18"/>
                <w:szCs w:val="18"/>
              </w:rPr>
              <w:t xml:space="preserve">: </w:t>
            </w:r>
            <w:r w:rsidR="003A2742">
              <w:rPr>
                <w:rFonts w:ascii="Times New Roman" w:hAnsi="Times New Roman"/>
                <w:sz w:val="18"/>
                <w:szCs w:val="18"/>
              </w:rPr>
              <w:t>65</w:t>
            </w:r>
          </w:p>
          <w:p w14:paraId="1E90527C" w14:textId="3B7A7B33" w:rsidR="0033207E" w:rsidRDefault="0033207E" w:rsidP="0033207E">
            <w:pPr>
              <w:spacing w:after="0" w:line="240" w:lineRule="auto"/>
              <w:jc w:val="both"/>
              <w:rPr>
                <w:rFonts w:ascii="Times New Roman" w:hAnsi="Times New Roman"/>
                <w:sz w:val="18"/>
                <w:szCs w:val="18"/>
              </w:rPr>
            </w:pPr>
          </w:p>
          <w:p w14:paraId="64D51610" w14:textId="3E233797" w:rsidR="00897F3A" w:rsidRPr="00702641" w:rsidRDefault="00897F3A" w:rsidP="0033207E">
            <w:pPr>
              <w:spacing w:after="0" w:line="240" w:lineRule="auto"/>
              <w:jc w:val="both"/>
              <w:rPr>
                <w:rFonts w:ascii="Times New Roman" w:hAnsi="Times New Roman"/>
                <w:sz w:val="18"/>
                <w:szCs w:val="18"/>
              </w:rPr>
            </w:pPr>
          </w:p>
          <w:p w14:paraId="21B92BC7" w14:textId="77777777" w:rsidR="0033207E" w:rsidRPr="00702641" w:rsidRDefault="0033207E" w:rsidP="0033207E">
            <w:pPr>
              <w:spacing w:after="0" w:line="240" w:lineRule="auto"/>
              <w:jc w:val="both"/>
              <w:rPr>
                <w:rFonts w:ascii="Times New Roman" w:hAnsi="Times New Roman"/>
                <w:sz w:val="18"/>
                <w:szCs w:val="18"/>
              </w:rPr>
            </w:pPr>
            <w:r w:rsidRPr="00702641">
              <w:rPr>
                <w:rFonts w:ascii="Times New Roman" w:hAnsi="Times New Roman"/>
                <w:i/>
                <w:sz w:val="18"/>
                <w:szCs w:val="18"/>
              </w:rPr>
              <w:t>Mērķa vērtības noteikšanas principi/metodoloģija</w:t>
            </w:r>
            <w:r w:rsidRPr="00702641">
              <w:rPr>
                <w:rFonts w:ascii="Times New Roman" w:hAnsi="Times New Roman"/>
                <w:sz w:val="18"/>
                <w:szCs w:val="18"/>
              </w:rPr>
              <w:t xml:space="preserve">: </w:t>
            </w:r>
          </w:p>
          <w:p w14:paraId="57D124C5" w14:textId="3224ADA6" w:rsidR="0033207E" w:rsidRPr="00702641" w:rsidRDefault="0033207E" w:rsidP="0033207E">
            <w:pPr>
              <w:spacing w:after="0" w:line="240" w:lineRule="auto"/>
              <w:jc w:val="both"/>
              <w:rPr>
                <w:rFonts w:ascii="Times New Roman" w:hAnsi="Times New Roman"/>
                <w:sz w:val="18"/>
                <w:szCs w:val="18"/>
              </w:rPr>
            </w:pPr>
            <w:r w:rsidRPr="00702641">
              <w:rPr>
                <w:rFonts w:ascii="Times New Roman" w:hAnsi="Times New Roman"/>
                <w:sz w:val="18"/>
                <w:szCs w:val="18"/>
              </w:rPr>
              <w:t xml:space="preserve">Rādītājs veidojas ņemot vērā programmām piešķirto </w:t>
            </w:r>
            <w:r w:rsidR="006159CA" w:rsidRPr="00702641">
              <w:rPr>
                <w:rFonts w:ascii="Times New Roman" w:hAnsi="Times New Roman"/>
                <w:sz w:val="18"/>
                <w:szCs w:val="18"/>
              </w:rPr>
              <w:t xml:space="preserve">25 milj. EUR </w:t>
            </w:r>
            <w:r w:rsidRPr="00702641">
              <w:rPr>
                <w:rFonts w:ascii="Times New Roman" w:hAnsi="Times New Roman"/>
                <w:sz w:val="18"/>
                <w:szCs w:val="18"/>
              </w:rPr>
              <w:t>finansējumu plānoto atsevišķu atbalsts produktu (finanšu instruments) vidējo piešķirto apjomu kā arī, ņemot vēra līdzšinējo pieprasījumu:</w:t>
            </w:r>
          </w:p>
          <w:p w14:paraId="0D7C6B3E" w14:textId="157D7503" w:rsidR="0033207E" w:rsidRPr="00702641" w:rsidRDefault="0033207E" w:rsidP="0033207E">
            <w:pPr>
              <w:pStyle w:val="ListParagraph"/>
              <w:numPr>
                <w:ilvl w:val="0"/>
                <w:numId w:val="7"/>
              </w:numPr>
              <w:spacing w:after="0" w:line="240" w:lineRule="auto"/>
              <w:ind w:left="394"/>
              <w:jc w:val="both"/>
              <w:rPr>
                <w:rFonts w:ascii="Times New Roman" w:hAnsi="Times New Roman"/>
                <w:sz w:val="18"/>
                <w:szCs w:val="18"/>
              </w:rPr>
            </w:pPr>
            <w:r w:rsidRPr="00702641">
              <w:rPr>
                <w:rFonts w:ascii="Times New Roman" w:hAnsi="Times New Roman"/>
                <w:sz w:val="18"/>
                <w:szCs w:val="18"/>
              </w:rPr>
              <w:t xml:space="preserve">Paredzētais </w:t>
            </w:r>
            <w:r w:rsidR="006159CA" w:rsidRPr="00702641">
              <w:rPr>
                <w:rFonts w:ascii="Times New Roman" w:hAnsi="Times New Roman"/>
                <w:sz w:val="18"/>
                <w:szCs w:val="18"/>
              </w:rPr>
              <w:t>finansējums</w:t>
            </w:r>
            <w:r w:rsidRPr="00702641">
              <w:rPr>
                <w:rFonts w:ascii="Times New Roman" w:hAnsi="Times New Roman"/>
                <w:sz w:val="18"/>
                <w:szCs w:val="18"/>
              </w:rPr>
              <w:t xml:space="preserve"> </w:t>
            </w:r>
            <w:r w:rsidRPr="00702641">
              <w:rPr>
                <w:rFonts w:ascii="Times New Roman" w:hAnsi="Times New Roman"/>
                <w:b/>
                <w:bCs/>
                <w:sz w:val="18"/>
                <w:szCs w:val="18"/>
                <w:u w:val="single"/>
              </w:rPr>
              <w:t>aizdevumu garantiju programmā</w:t>
            </w:r>
            <w:r w:rsidRPr="00702641">
              <w:rPr>
                <w:rFonts w:ascii="Times New Roman" w:hAnsi="Times New Roman"/>
                <w:sz w:val="18"/>
                <w:szCs w:val="18"/>
              </w:rPr>
              <w:t xml:space="preserve"> ir </w:t>
            </w:r>
            <w:r w:rsidR="00B8289C">
              <w:rPr>
                <w:rFonts w:ascii="Times New Roman" w:hAnsi="Times New Roman"/>
                <w:sz w:val="18"/>
                <w:szCs w:val="18"/>
              </w:rPr>
              <w:t>9</w:t>
            </w:r>
            <w:r w:rsidR="00B8289C" w:rsidRPr="00702641">
              <w:rPr>
                <w:rFonts w:ascii="Times New Roman" w:hAnsi="Times New Roman"/>
                <w:sz w:val="18"/>
                <w:szCs w:val="18"/>
              </w:rPr>
              <w:t xml:space="preserve"> </w:t>
            </w:r>
            <w:r w:rsidRPr="00702641">
              <w:rPr>
                <w:rFonts w:ascii="Times New Roman" w:hAnsi="Times New Roman"/>
                <w:sz w:val="18"/>
                <w:szCs w:val="18"/>
              </w:rPr>
              <w:t>milj. EUR. Tiek prognozēts, ka līdz 2023.gadam, tiks atbalstīti vēl 20 unikālie komersanti.</w:t>
            </w:r>
          </w:p>
          <w:p w14:paraId="792ADC8C" w14:textId="2E88BF2A" w:rsidR="00050158" w:rsidRPr="00643986" w:rsidRDefault="006159CA" w:rsidP="00050158">
            <w:pPr>
              <w:pStyle w:val="ListParagraph"/>
              <w:numPr>
                <w:ilvl w:val="0"/>
                <w:numId w:val="8"/>
              </w:numPr>
              <w:spacing w:after="0" w:line="240" w:lineRule="auto"/>
              <w:jc w:val="both"/>
              <w:rPr>
                <w:rFonts w:ascii="Times New Roman" w:eastAsia="Times New Roman" w:hAnsi="Times New Roman"/>
                <w:sz w:val="18"/>
                <w:szCs w:val="18"/>
              </w:rPr>
            </w:pPr>
            <w:r w:rsidRPr="00702641">
              <w:rPr>
                <w:rFonts w:ascii="Times New Roman" w:hAnsi="Times New Roman"/>
                <w:sz w:val="18"/>
                <w:szCs w:val="18"/>
              </w:rPr>
              <w:lastRenderedPageBreak/>
              <w:t>Finansējums</w:t>
            </w:r>
            <w:r w:rsidR="0033207E" w:rsidRPr="00702641">
              <w:rPr>
                <w:rFonts w:ascii="Times New Roman" w:hAnsi="Times New Roman"/>
                <w:sz w:val="18"/>
                <w:szCs w:val="18"/>
              </w:rPr>
              <w:t xml:space="preserve"> </w:t>
            </w:r>
            <w:r w:rsidR="0033207E" w:rsidRPr="00702641">
              <w:rPr>
                <w:rFonts w:ascii="Times New Roman" w:hAnsi="Times New Roman"/>
                <w:b/>
                <w:bCs/>
                <w:sz w:val="18"/>
                <w:szCs w:val="18"/>
              </w:rPr>
              <w:t>MVU aizdevumiem</w:t>
            </w:r>
            <w:r w:rsidR="0033207E" w:rsidRPr="00702641">
              <w:rPr>
                <w:rFonts w:ascii="Times New Roman" w:hAnsi="Times New Roman"/>
                <w:sz w:val="18"/>
                <w:szCs w:val="18"/>
              </w:rPr>
              <w:t xml:space="preserve"> ir </w:t>
            </w:r>
            <w:r w:rsidR="00B8289C">
              <w:rPr>
                <w:rFonts w:ascii="Times New Roman" w:hAnsi="Times New Roman"/>
                <w:sz w:val="18"/>
                <w:szCs w:val="18"/>
              </w:rPr>
              <w:t>16</w:t>
            </w:r>
            <w:r w:rsidR="00B8289C" w:rsidRPr="00702641">
              <w:rPr>
                <w:rFonts w:ascii="Times New Roman" w:hAnsi="Times New Roman"/>
                <w:sz w:val="18"/>
                <w:szCs w:val="18"/>
              </w:rPr>
              <w:t xml:space="preserve"> </w:t>
            </w:r>
            <w:r w:rsidR="0033207E" w:rsidRPr="00702641">
              <w:rPr>
                <w:rFonts w:ascii="Times New Roman" w:hAnsi="Times New Roman"/>
                <w:sz w:val="18"/>
                <w:szCs w:val="18"/>
              </w:rPr>
              <w:t xml:space="preserve">000 000 EUR, faktiski programmas ietvaros tiks papildus atbalstīti </w:t>
            </w:r>
            <w:r w:rsidR="003A2742">
              <w:rPr>
                <w:rFonts w:ascii="Times New Roman" w:hAnsi="Times New Roman"/>
                <w:sz w:val="18"/>
                <w:szCs w:val="18"/>
              </w:rPr>
              <w:t>45</w:t>
            </w:r>
            <w:r w:rsidR="00B8289C" w:rsidRPr="00702641">
              <w:rPr>
                <w:rFonts w:ascii="Times New Roman" w:hAnsi="Times New Roman"/>
                <w:sz w:val="18"/>
                <w:szCs w:val="18"/>
              </w:rPr>
              <w:t xml:space="preserve"> </w:t>
            </w:r>
            <w:r w:rsidRPr="00702641">
              <w:rPr>
                <w:rFonts w:ascii="Times New Roman" w:hAnsi="Times New Roman"/>
                <w:sz w:val="18"/>
                <w:szCs w:val="18"/>
              </w:rPr>
              <w:t>unikāli</w:t>
            </w:r>
            <w:r w:rsidR="0033207E" w:rsidRPr="00702641">
              <w:rPr>
                <w:rFonts w:ascii="Times New Roman" w:hAnsi="Times New Roman"/>
                <w:sz w:val="18"/>
                <w:szCs w:val="18"/>
              </w:rPr>
              <w:t xml:space="preserve"> komersanti.</w:t>
            </w:r>
          </w:p>
          <w:p w14:paraId="37A76585" w14:textId="3A393D4E" w:rsidR="002D57D0" w:rsidRPr="00852A0B" w:rsidRDefault="002D57D0" w:rsidP="00852A0B">
            <w:pPr>
              <w:spacing w:after="0" w:line="240" w:lineRule="auto"/>
              <w:jc w:val="both"/>
              <w:rPr>
                <w:rFonts w:ascii="Times New Roman" w:eastAsia="Times New Roman" w:hAnsi="Times New Roman"/>
                <w:sz w:val="18"/>
                <w:szCs w:val="18"/>
              </w:rPr>
            </w:pPr>
          </w:p>
          <w:p w14:paraId="7C5BDB72" w14:textId="77777777" w:rsidR="0033207E" w:rsidRPr="00574B2E" w:rsidRDefault="0033207E">
            <w:pPr>
              <w:spacing w:after="0" w:line="240" w:lineRule="auto"/>
              <w:jc w:val="both"/>
              <w:rPr>
                <w:rFonts w:ascii="Times New Roman" w:hAnsi="Times New Roman"/>
                <w:sz w:val="18"/>
                <w:szCs w:val="18"/>
              </w:rPr>
            </w:pPr>
          </w:p>
          <w:p w14:paraId="6AFE9687" w14:textId="16BB34DE" w:rsidR="0033207E" w:rsidRDefault="0033207E" w:rsidP="0033207E">
            <w:pPr>
              <w:spacing w:after="0" w:line="240" w:lineRule="auto"/>
              <w:jc w:val="both"/>
              <w:rPr>
                <w:rFonts w:ascii="Times New Roman" w:hAnsi="Times New Roman"/>
                <w:i/>
                <w:iCs/>
                <w:sz w:val="18"/>
                <w:szCs w:val="18"/>
              </w:rPr>
            </w:pPr>
            <w:r w:rsidRPr="00702641">
              <w:rPr>
                <w:rFonts w:ascii="Times New Roman" w:hAnsi="Times New Roman"/>
                <w:i/>
                <w:iCs/>
                <w:sz w:val="18"/>
                <w:szCs w:val="18"/>
              </w:rPr>
              <w:t>Iznākuma rādītājam sasniegšanai paredzētais finansējums: 25 000 000  EUR</w:t>
            </w:r>
            <w:r w:rsidR="00ED7B70">
              <w:rPr>
                <w:rFonts w:ascii="Times New Roman" w:hAnsi="Times New Roman"/>
                <w:i/>
                <w:iCs/>
                <w:sz w:val="18"/>
                <w:szCs w:val="18"/>
              </w:rPr>
              <w:t>.</w:t>
            </w:r>
          </w:p>
          <w:p w14:paraId="0965444F" w14:textId="0CFA44D9" w:rsidR="007726BD" w:rsidRPr="00EC2E34" w:rsidRDefault="007726BD" w:rsidP="0033207E">
            <w:pPr>
              <w:spacing w:after="0" w:line="240" w:lineRule="auto"/>
              <w:jc w:val="both"/>
              <w:rPr>
                <w:rFonts w:ascii="Times New Roman" w:hAnsi="Times New Roman"/>
                <w:i/>
                <w:iCs/>
                <w:sz w:val="18"/>
                <w:szCs w:val="18"/>
              </w:rPr>
            </w:pPr>
          </w:p>
          <w:p w14:paraId="14DBF6FF" w14:textId="602753C2" w:rsidR="007726BD" w:rsidRDefault="00E11D75" w:rsidP="007726BD">
            <w:pPr>
              <w:spacing w:after="0" w:line="240" w:lineRule="auto"/>
              <w:jc w:val="both"/>
              <w:rPr>
                <w:rFonts w:ascii="Times New Roman" w:hAnsi="Times New Roman"/>
                <w:b/>
                <w:bCs/>
                <w:sz w:val="18"/>
                <w:szCs w:val="18"/>
                <w:u w:val="single"/>
              </w:rPr>
            </w:pPr>
            <w:r w:rsidRPr="00E92C3B">
              <w:rPr>
                <w:rFonts w:ascii="Times New Roman" w:eastAsia="Times New Roman" w:hAnsi="Times New Roman"/>
                <w:color w:val="000000" w:themeColor="text1"/>
                <w:sz w:val="18"/>
                <w:szCs w:val="18"/>
              </w:rPr>
              <w:t>i.13.1.1.d</w:t>
            </w:r>
            <w:r w:rsidR="009F486C" w:rsidRPr="00475CF7">
              <w:rPr>
                <w:rFonts w:ascii="Times New Roman" w:hAnsi="Times New Roman"/>
                <w:b/>
                <w:bCs/>
                <w:sz w:val="18"/>
                <w:szCs w:val="18"/>
                <w:u w:val="single"/>
              </w:rPr>
              <w:t xml:space="preserve"> Atbalstīto komersantu skaits</w:t>
            </w:r>
          </w:p>
          <w:p w14:paraId="5FC51F14" w14:textId="284627CC" w:rsidR="00694C7E" w:rsidRDefault="00694C7E" w:rsidP="007726BD">
            <w:pPr>
              <w:spacing w:after="0" w:line="240" w:lineRule="auto"/>
              <w:jc w:val="both"/>
              <w:rPr>
                <w:rFonts w:ascii="Times New Roman" w:hAnsi="Times New Roman"/>
                <w:b/>
                <w:bCs/>
                <w:sz w:val="18"/>
                <w:szCs w:val="18"/>
                <w:u w:val="single"/>
              </w:rPr>
            </w:pPr>
          </w:p>
          <w:p w14:paraId="69AE1404" w14:textId="255B27C4" w:rsidR="00694C7E" w:rsidRDefault="00694C7E" w:rsidP="00694C7E">
            <w:pPr>
              <w:spacing w:after="0" w:line="240" w:lineRule="auto"/>
              <w:jc w:val="both"/>
              <w:rPr>
                <w:rFonts w:ascii="Times New Roman" w:eastAsia="Times New Roman" w:hAnsi="Times New Roman"/>
                <w:color w:val="000000" w:themeColor="text1"/>
                <w:sz w:val="18"/>
                <w:szCs w:val="18"/>
              </w:rPr>
            </w:pPr>
            <w:r w:rsidRPr="00E92C3B">
              <w:rPr>
                <w:rFonts w:ascii="Times New Roman" w:eastAsia="Times New Roman" w:hAnsi="Times New Roman"/>
                <w:color w:val="000000" w:themeColor="text1"/>
                <w:sz w:val="18"/>
                <w:szCs w:val="18"/>
              </w:rPr>
              <w:t>Rādītāj</w:t>
            </w:r>
            <w:r w:rsidR="00427151" w:rsidRPr="00E92C3B">
              <w:rPr>
                <w:rFonts w:ascii="Times New Roman" w:eastAsia="Times New Roman" w:hAnsi="Times New Roman"/>
                <w:color w:val="000000" w:themeColor="text1"/>
                <w:sz w:val="18"/>
                <w:szCs w:val="18"/>
              </w:rPr>
              <w:t xml:space="preserve">s </w:t>
            </w:r>
            <w:r w:rsidRPr="00E92C3B">
              <w:rPr>
                <w:rFonts w:ascii="Times New Roman" w:eastAsia="Times New Roman" w:hAnsi="Times New Roman"/>
                <w:color w:val="000000" w:themeColor="text1"/>
                <w:sz w:val="18"/>
                <w:szCs w:val="18"/>
              </w:rPr>
              <w:t>saistīt</w:t>
            </w:r>
            <w:r w:rsidR="00427151" w:rsidRPr="00E92C3B">
              <w:rPr>
                <w:rFonts w:ascii="Times New Roman" w:eastAsia="Times New Roman" w:hAnsi="Times New Roman"/>
                <w:color w:val="000000" w:themeColor="text1"/>
                <w:sz w:val="18"/>
                <w:szCs w:val="18"/>
              </w:rPr>
              <w:t>s</w:t>
            </w:r>
            <w:r w:rsidRPr="00E92C3B">
              <w:rPr>
                <w:rFonts w:ascii="Times New Roman" w:eastAsia="Times New Roman" w:hAnsi="Times New Roman"/>
                <w:color w:val="000000" w:themeColor="text1"/>
                <w:sz w:val="18"/>
                <w:szCs w:val="18"/>
              </w:rPr>
              <w:t xml:space="preserve"> ar</w:t>
            </w:r>
            <w:r w:rsidRPr="00671084">
              <w:rPr>
                <w:rFonts w:ascii="Times New Roman" w:eastAsia="Times New Roman" w:hAnsi="Times New Roman"/>
                <w:color w:val="000000" w:themeColor="text1"/>
                <w:sz w:val="18"/>
                <w:szCs w:val="18"/>
              </w:rPr>
              <w:t xml:space="preserve"> 3.1.1.SAM</w:t>
            </w:r>
            <w:r>
              <w:rPr>
                <w:rFonts w:ascii="Times New Roman" w:eastAsia="Times New Roman" w:hAnsi="Times New Roman"/>
                <w:color w:val="000000" w:themeColor="text1"/>
                <w:sz w:val="18"/>
                <w:szCs w:val="18"/>
              </w:rPr>
              <w:t xml:space="preserve"> un </w:t>
            </w:r>
            <w:r w:rsidRPr="00671084">
              <w:rPr>
                <w:rFonts w:ascii="Times New Roman" w:eastAsia="Times New Roman" w:hAnsi="Times New Roman"/>
                <w:color w:val="000000" w:themeColor="text1"/>
                <w:sz w:val="18"/>
                <w:szCs w:val="18"/>
              </w:rPr>
              <w:t xml:space="preserve">3.2.1. SAM, </w:t>
            </w:r>
            <w:r w:rsidR="00427151">
              <w:rPr>
                <w:rFonts w:ascii="Times New Roman" w:eastAsia="Times New Roman" w:hAnsi="Times New Roman"/>
                <w:color w:val="000000" w:themeColor="text1"/>
                <w:sz w:val="18"/>
                <w:szCs w:val="18"/>
              </w:rPr>
              <w:t>jo</w:t>
            </w:r>
            <w:r w:rsidRPr="00671084">
              <w:rPr>
                <w:rFonts w:ascii="Times New Roman" w:eastAsia="Times New Roman" w:hAnsi="Times New Roman"/>
                <w:color w:val="000000" w:themeColor="text1"/>
                <w:sz w:val="18"/>
                <w:szCs w:val="18"/>
              </w:rPr>
              <w:t xml:space="preserve"> </w:t>
            </w:r>
            <w:r w:rsidR="00915176">
              <w:rPr>
                <w:rFonts w:ascii="Times New Roman" w:eastAsia="Times New Roman" w:hAnsi="Times New Roman"/>
                <w:color w:val="000000" w:themeColor="text1"/>
                <w:sz w:val="18"/>
                <w:szCs w:val="18"/>
              </w:rPr>
              <w:t xml:space="preserve">ar </w:t>
            </w:r>
            <w:r w:rsidR="00915176" w:rsidRPr="00E92C3B">
              <w:rPr>
                <w:rFonts w:ascii="Times New Roman" w:eastAsia="Times New Roman" w:hAnsi="Times New Roman"/>
                <w:color w:val="000000" w:themeColor="text1"/>
                <w:sz w:val="18"/>
                <w:szCs w:val="18"/>
              </w:rPr>
              <w:t>React-EU</w:t>
            </w:r>
            <w:r w:rsidR="00915176" w:rsidRPr="00671084">
              <w:rPr>
                <w:rFonts w:ascii="Times New Roman" w:eastAsia="Times New Roman" w:hAnsi="Times New Roman"/>
                <w:color w:val="000000" w:themeColor="text1"/>
                <w:sz w:val="18"/>
                <w:szCs w:val="18"/>
              </w:rPr>
              <w:t xml:space="preserve"> </w:t>
            </w:r>
            <w:r w:rsidRPr="00671084">
              <w:rPr>
                <w:rFonts w:ascii="Times New Roman" w:eastAsia="Times New Roman" w:hAnsi="Times New Roman"/>
                <w:color w:val="000000" w:themeColor="text1"/>
                <w:sz w:val="18"/>
                <w:szCs w:val="18"/>
              </w:rPr>
              <w:t>finansējum</w:t>
            </w:r>
            <w:r w:rsidR="00915176">
              <w:rPr>
                <w:rFonts w:ascii="Times New Roman" w:eastAsia="Times New Roman" w:hAnsi="Times New Roman"/>
                <w:color w:val="000000" w:themeColor="text1"/>
                <w:sz w:val="18"/>
                <w:szCs w:val="18"/>
              </w:rPr>
              <w:t xml:space="preserve">u un sasniegtie rādītāji </w:t>
            </w:r>
            <w:r w:rsidR="00915176">
              <w:rPr>
                <w:rFonts w:eastAsia="Times New Roman"/>
                <w:sz w:val="20"/>
                <w:szCs w:val="20"/>
                <w:lang w:eastAsia="lv-LV"/>
              </w:rPr>
              <w:t xml:space="preserve">13.1.1.d ietvaros sniegs ieguldījumu </w:t>
            </w:r>
            <w:r w:rsidRPr="00671084">
              <w:rPr>
                <w:rFonts w:ascii="Times New Roman" w:eastAsia="Times New Roman" w:hAnsi="Times New Roman"/>
                <w:color w:val="000000" w:themeColor="text1"/>
                <w:sz w:val="18"/>
                <w:szCs w:val="18"/>
              </w:rPr>
              <w:t xml:space="preserve"> </w:t>
            </w:r>
            <w:r w:rsidR="00915176" w:rsidRPr="00671084">
              <w:rPr>
                <w:rFonts w:ascii="Times New Roman" w:eastAsia="Times New Roman" w:hAnsi="Times New Roman"/>
                <w:color w:val="000000" w:themeColor="text1"/>
                <w:sz w:val="18"/>
                <w:szCs w:val="18"/>
              </w:rPr>
              <w:t>3.1.1.SAM</w:t>
            </w:r>
            <w:r w:rsidR="00915176">
              <w:rPr>
                <w:rFonts w:ascii="Times New Roman" w:eastAsia="Times New Roman" w:hAnsi="Times New Roman"/>
                <w:color w:val="000000" w:themeColor="text1"/>
                <w:sz w:val="18"/>
                <w:szCs w:val="18"/>
              </w:rPr>
              <w:t xml:space="preserve"> un </w:t>
            </w:r>
            <w:r w:rsidR="00915176" w:rsidRPr="00671084">
              <w:rPr>
                <w:rFonts w:ascii="Times New Roman" w:eastAsia="Times New Roman" w:hAnsi="Times New Roman"/>
                <w:color w:val="000000" w:themeColor="text1"/>
                <w:sz w:val="18"/>
                <w:szCs w:val="18"/>
              </w:rPr>
              <w:t>3.2.1. SAM</w:t>
            </w:r>
            <w:r w:rsidR="00915176">
              <w:rPr>
                <w:rFonts w:ascii="Times New Roman" w:eastAsia="Times New Roman" w:hAnsi="Times New Roman"/>
                <w:color w:val="000000" w:themeColor="text1"/>
                <w:sz w:val="18"/>
                <w:szCs w:val="18"/>
              </w:rPr>
              <w:t xml:space="preserve"> īstenošanā</w:t>
            </w:r>
            <w:r>
              <w:rPr>
                <w:rFonts w:ascii="Times New Roman" w:eastAsia="Times New Roman" w:hAnsi="Times New Roman"/>
                <w:color w:val="000000" w:themeColor="text1"/>
                <w:sz w:val="18"/>
                <w:szCs w:val="18"/>
              </w:rPr>
              <w:t>.</w:t>
            </w:r>
          </w:p>
          <w:p w14:paraId="5642BFC2" w14:textId="77777777" w:rsidR="00694C7E" w:rsidRDefault="00694C7E" w:rsidP="00694C7E">
            <w:pPr>
              <w:spacing w:after="0" w:line="240" w:lineRule="auto"/>
              <w:jc w:val="both"/>
              <w:rPr>
                <w:rFonts w:ascii="Times New Roman" w:eastAsia="Times New Roman" w:hAnsi="Times New Roman"/>
                <w:color w:val="000000" w:themeColor="text1"/>
                <w:sz w:val="18"/>
                <w:szCs w:val="18"/>
              </w:rPr>
            </w:pPr>
          </w:p>
          <w:p w14:paraId="59C35B4E" w14:textId="351148D8" w:rsidR="00694C7E" w:rsidRPr="00702641" w:rsidRDefault="00694C7E" w:rsidP="00694C7E">
            <w:pPr>
              <w:spacing w:after="0" w:line="240" w:lineRule="auto"/>
              <w:jc w:val="both"/>
              <w:rPr>
                <w:rFonts w:ascii="Times New Roman" w:hAnsi="Times New Roman"/>
                <w:i/>
                <w:iCs/>
                <w:sz w:val="18"/>
                <w:szCs w:val="18"/>
              </w:rPr>
            </w:pPr>
            <w:r w:rsidRPr="00702641">
              <w:rPr>
                <w:rFonts w:ascii="Times New Roman" w:hAnsi="Times New Roman"/>
                <w:i/>
                <w:iCs/>
                <w:sz w:val="18"/>
                <w:szCs w:val="18"/>
              </w:rPr>
              <w:t>Definīcija:</w:t>
            </w:r>
            <w:r w:rsidRPr="00702641">
              <w:rPr>
                <w:rFonts w:ascii="Times New Roman" w:hAnsi="Times New Roman"/>
                <w:sz w:val="18"/>
                <w:szCs w:val="18"/>
              </w:rPr>
              <w:t xml:space="preserve"> Kopējais rādītājs, norādot datus par </w:t>
            </w:r>
            <w:r w:rsidRPr="006D25C5">
              <w:rPr>
                <w:rFonts w:ascii="Times New Roman" w:hAnsi="Times New Roman"/>
                <w:sz w:val="18"/>
                <w:szCs w:val="18"/>
              </w:rPr>
              <w:t>3.2.1.2.</w:t>
            </w:r>
            <w:r>
              <w:rPr>
                <w:rFonts w:ascii="Times New Roman" w:hAnsi="Times New Roman"/>
                <w:sz w:val="18"/>
                <w:szCs w:val="18"/>
              </w:rPr>
              <w:t xml:space="preserve"> </w:t>
            </w:r>
            <w:r w:rsidRPr="006D25C5">
              <w:rPr>
                <w:rFonts w:ascii="Times New Roman" w:hAnsi="Times New Roman"/>
                <w:sz w:val="18"/>
                <w:szCs w:val="18"/>
              </w:rPr>
              <w:t>un 3.1.1.6</w:t>
            </w:r>
            <w:r>
              <w:rPr>
                <w:rFonts w:ascii="Times New Roman" w:hAnsi="Times New Roman"/>
                <w:sz w:val="18"/>
                <w:szCs w:val="18"/>
              </w:rPr>
              <w:t xml:space="preserve"> pasākumiem</w:t>
            </w:r>
            <w:r w:rsidR="00BC0914">
              <w:rPr>
                <w:rFonts w:ascii="Times New Roman" w:hAnsi="Times New Roman"/>
                <w:sz w:val="18"/>
                <w:szCs w:val="18"/>
              </w:rPr>
              <w:t>, kas saņem</w:t>
            </w:r>
            <w:r w:rsidR="00C66BE0">
              <w:rPr>
                <w:rFonts w:ascii="Times New Roman" w:hAnsi="Times New Roman"/>
                <w:sz w:val="18"/>
                <w:szCs w:val="18"/>
              </w:rPr>
              <w:t xml:space="preserve"> </w:t>
            </w:r>
            <w:r w:rsidR="00C66BE0" w:rsidRPr="00E92C3B">
              <w:rPr>
                <w:rFonts w:ascii="Times New Roman" w:hAnsi="Times New Roman"/>
                <w:sz w:val="18"/>
                <w:szCs w:val="18"/>
              </w:rPr>
              <w:t>React-EU finansējumu</w:t>
            </w:r>
            <w:r>
              <w:rPr>
                <w:rFonts w:ascii="Times New Roman" w:hAnsi="Times New Roman"/>
                <w:sz w:val="18"/>
                <w:szCs w:val="18"/>
              </w:rPr>
              <w:t>.</w:t>
            </w:r>
          </w:p>
          <w:p w14:paraId="36929368" w14:textId="77777777" w:rsidR="00694C7E" w:rsidRPr="00671084" w:rsidRDefault="00694C7E" w:rsidP="00694C7E">
            <w:pPr>
              <w:spacing w:after="0" w:line="240" w:lineRule="auto"/>
              <w:jc w:val="both"/>
              <w:rPr>
                <w:rFonts w:ascii="Times New Roman" w:hAnsi="Times New Roman"/>
                <w:bCs/>
                <w:sz w:val="16"/>
                <w:szCs w:val="16"/>
              </w:rPr>
            </w:pPr>
          </w:p>
          <w:p w14:paraId="302DCEFB" w14:textId="77777777" w:rsidR="00694C7E" w:rsidRPr="00702641" w:rsidRDefault="00694C7E" w:rsidP="00694C7E">
            <w:pPr>
              <w:spacing w:after="0" w:line="240" w:lineRule="auto"/>
              <w:jc w:val="both"/>
              <w:rPr>
                <w:rFonts w:ascii="Times New Roman" w:hAnsi="Times New Roman"/>
                <w:sz w:val="18"/>
                <w:szCs w:val="18"/>
              </w:rPr>
            </w:pPr>
            <w:r w:rsidRPr="00702641">
              <w:rPr>
                <w:rFonts w:ascii="Times New Roman" w:hAnsi="Times New Roman"/>
                <w:i/>
                <w:sz w:val="18"/>
                <w:szCs w:val="18"/>
              </w:rPr>
              <w:t>Datu avots</w:t>
            </w:r>
            <w:r w:rsidRPr="00702641">
              <w:rPr>
                <w:rFonts w:ascii="Times New Roman" w:hAnsi="Times New Roman"/>
                <w:sz w:val="18"/>
                <w:szCs w:val="18"/>
              </w:rPr>
              <w:t>: Projektu dati</w:t>
            </w:r>
          </w:p>
          <w:p w14:paraId="686A309F" w14:textId="77777777" w:rsidR="00694C7E" w:rsidRDefault="00694C7E" w:rsidP="00694C7E">
            <w:pPr>
              <w:spacing w:after="0" w:line="240" w:lineRule="auto"/>
              <w:jc w:val="both"/>
              <w:rPr>
                <w:rFonts w:ascii="Times New Roman" w:hAnsi="Times New Roman"/>
                <w:b/>
                <w:sz w:val="16"/>
                <w:szCs w:val="16"/>
                <w:u w:val="single"/>
              </w:rPr>
            </w:pPr>
          </w:p>
          <w:p w14:paraId="4CD841DE" w14:textId="77777777" w:rsidR="00694C7E" w:rsidRDefault="00694C7E" w:rsidP="00694C7E">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Apkopošanas biežums un ieguves metodoloģija:</w:t>
            </w:r>
            <w:r w:rsidRPr="00DD2CE4">
              <w:rPr>
                <w:rFonts w:ascii="Times New Roman" w:hAnsi="Times New Roman"/>
                <w:color w:val="000000" w:themeColor="text1"/>
                <w:sz w:val="18"/>
                <w:szCs w:val="18"/>
              </w:rPr>
              <w:t xml:space="preserve"> reizi gadā, apkopojot informāciju par atbalstītajiem projektiem no projektu atskaitēm</w:t>
            </w:r>
          </w:p>
          <w:p w14:paraId="1F63B007" w14:textId="77777777" w:rsidR="00694C7E" w:rsidRDefault="00694C7E" w:rsidP="00694C7E">
            <w:pPr>
              <w:spacing w:after="0" w:line="240" w:lineRule="auto"/>
              <w:jc w:val="both"/>
              <w:rPr>
                <w:rFonts w:ascii="Times New Roman" w:hAnsi="Times New Roman"/>
                <w:b/>
                <w:color w:val="000000" w:themeColor="text1"/>
                <w:sz w:val="16"/>
                <w:szCs w:val="16"/>
                <w:u w:val="single"/>
              </w:rPr>
            </w:pPr>
          </w:p>
          <w:p w14:paraId="4E64AFDE" w14:textId="77777777" w:rsidR="00694C7E" w:rsidRPr="00DD2CE4" w:rsidRDefault="00694C7E" w:rsidP="00694C7E">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Darbība, kas liek uzskatīt mērķa vērtību par izpildītu:</w:t>
            </w:r>
            <w:r w:rsidRPr="00DD2CE4">
              <w:rPr>
                <w:rFonts w:ascii="Times New Roman" w:hAnsi="Times New Roman"/>
                <w:color w:val="000000" w:themeColor="text1"/>
                <w:sz w:val="18"/>
                <w:szCs w:val="18"/>
              </w:rPr>
              <w:t xml:space="preserve"> rādītāju uzskaita, norādot unikālos gala saņēmējus (saimnieciskās darbības veicējus), ar kuriem noslēgts līgums un kuriem veikts vismaz viens maksājums</w:t>
            </w:r>
          </w:p>
          <w:p w14:paraId="07BBC1C0" w14:textId="77777777" w:rsidR="00694C7E" w:rsidRDefault="00694C7E" w:rsidP="00694C7E">
            <w:pPr>
              <w:spacing w:after="0" w:line="240" w:lineRule="auto"/>
              <w:jc w:val="both"/>
              <w:rPr>
                <w:rFonts w:ascii="Times New Roman" w:eastAsiaTheme="minorHAnsi" w:hAnsi="Times New Roman"/>
                <w:b/>
                <w:sz w:val="16"/>
                <w:szCs w:val="16"/>
                <w:u w:val="single"/>
              </w:rPr>
            </w:pPr>
          </w:p>
          <w:p w14:paraId="49049E05" w14:textId="4F1A8446" w:rsidR="00694C7E" w:rsidRPr="007B1FDC" w:rsidRDefault="00694C7E" w:rsidP="00694C7E">
            <w:pPr>
              <w:spacing w:after="0" w:line="240" w:lineRule="auto"/>
              <w:jc w:val="both"/>
              <w:rPr>
                <w:rFonts w:ascii="Times New Roman" w:eastAsiaTheme="minorHAnsi" w:hAnsi="Times New Roman"/>
                <w:bCs/>
                <w:sz w:val="18"/>
                <w:szCs w:val="18"/>
              </w:rPr>
            </w:pPr>
            <w:r w:rsidRPr="007B1FDC">
              <w:rPr>
                <w:rFonts w:ascii="Times New Roman" w:eastAsiaTheme="minorHAnsi" w:hAnsi="Times New Roman"/>
                <w:bCs/>
                <w:i/>
                <w:iCs/>
                <w:sz w:val="18"/>
                <w:szCs w:val="18"/>
              </w:rPr>
              <w:t>Mērķis 2023</w:t>
            </w:r>
            <w:r w:rsidRPr="00E92C3B">
              <w:rPr>
                <w:rFonts w:ascii="Times New Roman" w:eastAsiaTheme="minorHAnsi" w:hAnsi="Times New Roman"/>
                <w:bCs/>
                <w:sz w:val="18"/>
                <w:szCs w:val="18"/>
              </w:rPr>
              <w:t xml:space="preserve">: </w:t>
            </w:r>
            <w:r w:rsidR="00181900" w:rsidRPr="007103FE">
              <w:rPr>
                <w:rFonts w:ascii="Times New Roman" w:eastAsiaTheme="minorHAnsi" w:hAnsi="Times New Roman"/>
                <w:bCs/>
                <w:sz w:val="18"/>
                <w:szCs w:val="18"/>
              </w:rPr>
              <w:t>4</w:t>
            </w:r>
            <w:r w:rsidR="00AB74AD" w:rsidRPr="007103FE">
              <w:rPr>
                <w:rFonts w:ascii="Times New Roman" w:eastAsiaTheme="minorHAnsi" w:hAnsi="Times New Roman"/>
                <w:bCs/>
                <w:sz w:val="18"/>
                <w:szCs w:val="18"/>
              </w:rPr>
              <w:t>0</w:t>
            </w:r>
            <w:r w:rsidRPr="007B1FDC">
              <w:rPr>
                <w:rFonts w:ascii="Times New Roman" w:eastAsiaTheme="minorHAnsi" w:hAnsi="Times New Roman"/>
                <w:bCs/>
                <w:sz w:val="18"/>
                <w:szCs w:val="18"/>
              </w:rPr>
              <w:t xml:space="preserve"> komersanti</w:t>
            </w:r>
          </w:p>
          <w:p w14:paraId="512EF34B" w14:textId="77777777" w:rsidR="00694C7E" w:rsidRDefault="00694C7E" w:rsidP="00694C7E">
            <w:pPr>
              <w:spacing w:after="0" w:line="240" w:lineRule="auto"/>
              <w:jc w:val="both"/>
              <w:rPr>
                <w:rFonts w:ascii="Times New Roman" w:eastAsiaTheme="minorHAnsi" w:hAnsi="Times New Roman"/>
                <w:b/>
                <w:sz w:val="16"/>
                <w:szCs w:val="16"/>
                <w:u w:val="single"/>
              </w:rPr>
            </w:pPr>
          </w:p>
          <w:p w14:paraId="1138570C" w14:textId="77777777" w:rsidR="00694C7E" w:rsidRPr="00702641" w:rsidRDefault="00694C7E" w:rsidP="00694C7E">
            <w:pPr>
              <w:spacing w:after="0" w:line="240" w:lineRule="auto"/>
              <w:jc w:val="both"/>
              <w:rPr>
                <w:rFonts w:ascii="Times New Roman" w:hAnsi="Times New Roman"/>
                <w:sz w:val="18"/>
                <w:szCs w:val="18"/>
              </w:rPr>
            </w:pPr>
            <w:r w:rsidRPr="00702641">
              <w:rPr>
                <w:rFonts w:ascii="Times New Roman" w:hAnsi="Times New Roman"/>
                <w:i/>
                <w:sz w:val="18"/>
                <w:szCs w:val="18"/>
              </w:rPr>
              <w:t>Mērķa vērtības noteikšanas principi/metodoloģija</w:t>
            </w:r>
            <w:r w:rsidRPr="00702641">
              <w:rPr>
                <w:rFonts w:ascii="Times New Roman" w:hAnsi="Times New Roman"/>
                <w:sz w:val="18"/>
                <w:szCs w:val="18"/>
              </w:rPr>
              <w:t xml:space="preserve">: </w:t>
            </w:r>
          </w:p>
          <w:p w14:paraId="39700FD2" w14:textId="77777777" w:rsidR="00694C7E" w:rsidRDefault="00694C7E" w:rsidP="00694C7E">
            <w:pPr>
              <w:spacing w:after="0" w:line="240" w:lineRule="auto"/>
              <w:jc w:val="both"/>
              <w:rPr>
                <w:rFonts w:ascii="Times New Roman" w:hAnsi="Times New Roman"/>
                <w:sz w:val="18"/>
                <w:szCs w:val="18"/>
              </w:rPr>
            </w:pPr>
            <w:r w:rsidRPr="00702641">
              <w:rPr>
                <w:rFonts w:ascii="Times New Roman" w:hAnsi="Times New Roman"/>
                <w:sz w:val="18"/>
                <w:szCs w:val="18"/>
              </w:rPr>
              <w:t xml:space="preserve">Rādītājs veidojas ņemot vērā programmām piešķirto </w:t>
            </w:r>
            <w:r>
              <w:rPr>
                <w:rFonts w:ascii="Times New Roman" w:hAnsi="Times New Roman"/>
                <w:sz w:val="18"/>
                <w:szCs w:val="18"/>
              </w:rPr>
              <w:t xml:space="preserve">papildus 5,4 milj. </w:t>
            </w:r>
            <w:r w:rsidRPr="00702641">
              <w:rPr>
                <w:rFonts w:ascii="Times New Roman" w:hAnsi="Times New Roman"/>
                <w:sz w:val="18"/>
                <w:szCs w:val="18"/>
              </w:rPr>
              <w:t>EUR</w:t>
            </w:r>
            <w:r>
              <w:rPr>
                <w:rFonts w:ascii="Times New Roman" w:hAnsi="Times New Roman"/>
                <w:sz w:val="18"/>
                <w:szCs w:val="18"/>
              </w:rPr>
              <w:t xml:space="preserve"> React-EU</w:t>
            </w:r>
            <w:r w:rsidRPr="00702641">
              <w:rPr>
                <w:rFonts w:ascii="Times New Roman" w:hAnsi="Times New Roman"/>
                <w:sz w:val="18"/>
                <w:szCs w:val="18"/>
              </w:rPr>
              <w:t xml:space="preserve"> finansējumu plānoto atsevišķu atbalsts produktu (finanšu instruments) vidējo piešķirto apjomu kā arī, ņemot vēra līdzšinējo pieprasījumu</w:t>
            </w:r>
            <w:r>
              <w:rPr>
                <w:rFonts w:ascii="Times New Roman" w:hAnsi="Times New Roman"/>
                <w:sz w:val="18"/>
                <w:szCs w:val="18"/>
              </w:rPr>
              <w:t>:</w:t>
            </w:r>
          </w:p>
          <w:p w14:paraId="1B1BC86D" w14:textId="77777777" w:rsidR="00694C7E" w:rsidRPr="00702641" w:rsidRDefault="00694C7E" w:rsidP="00694C7E">
            <w:pPr>
              <w:spacing w:after="0" w:line="240" w:lineRule="auto"/>
              <w:jc w:val="both"/>
              <w:rPr>
                <w:rFonts w:ascii="Times New Roman" w:hAnsi="Times New Roman"/>
                <w:sz w:val="18"/>
                <w:szCs w:val="18"/>
              </w:rPr>
            </w:pPr>
          </w:p>
          <w:p w14:paraId="13E4CEF9" w14:textId="096144E2" w:rsidR="00694C7E" w:rsidRPr="00DF61BB" w:rsidRDefault="00694C7E" w:rsidP="00694C7E">
            <w:pPr>
              <w:pStyle w:val="ListParagraph"/>
              <w:numPr>
                <w:ilvl w:val="0"/>
                <w:numId w:val="8"/>
              </w:numPr>
              <w:spacing w:after="0" w:line="240" w:lineRule="auto"/>
              <w:jc w:val="both"/>
              <w:rPr>
                <w:rFonts w:ascii="Times New Roman" w:eastAsia="Times New Roman" w:hAnsi="Times New Roman"/>
                <w:sz w:val="18"/>
                <w:szCs w:val="18"/>
              </w:rPr>
            </w:pPr>
            <w:r w:rsidRPr="00F95A11">
              <w:rPr>
                <w:rFonts w:ascii="Times New Roman" w:hAnsi="Times New Roman"/>
                <w:sz w:val="18"/>
                <w:szCs w:val="18"/>
              </w:rPr>
              <w:t xml:space="preserve">Finansējums </w:t>
            </w:r>
            <w:r>
              <w:rPr>
                <w:rFonts w:ascii="Times New Roman" w:hAnsi="Times New Roman"/>
                <w:sz w:val="18"/>
                <w:szCs w:val="18"/>
              </w:rPr>
              <w:t>programmai</w:t>
            </w:r>
            <w:r w:rsidRPr="00F95A11">
              <w:rPr>
                <w:rFonts w:ascii="Times New Roman" w:hAnsi="Times New Roman"/>
                <w:sz w:val="18"/>
                <w:szCs w:val="18"/>
              </w:rPr>
              <w:t xml:space="preserve"> "Starptautiskās konkurētspējas veicināšana" </w:t>
            </w:r>
            <w:r w:rsidR="00181900">
              <w:rPr>
                <w:rFonts w:ascii="Times New Roman" w:hAnsi="Times New Roman"/>
                <w:sz w:val="18"/>
                <w:szCs w:val="18"/>
              </w:rPr>
              <w:t xml:space="preserve">5 980 300 </w:t>
            </w:r>
            <w:r w:rsidRPr="007C3F52">
              <w:rPr>
                <w:rFonts w:ascii="Times New Roman" w:hAnsi="Times New Roman"/>
                <w:i/>
                <w:iCs/>
                <w:color w:val="242424"/>
                <w:sz w:val="18"/>
                <w:szCs w:val="18"/>
                <w:shd w:val="clear" w:color="auto" w:fill="FFFFFF"/>
              </w:rPr>
              <w:t>euro</w:t>
            </w:r>
            <w:r>
              <w:rPr>
                <w:rFonts w:ascii="Times New Roman" w:hAnsi="Times New Roman"/>
                <w:b/>
                <w:bCs/>
                <w:color w:val="242424"/>
                <w:sz w:val="18"/>
                <w:szCs w:val="18"/>
                <w:shd w:val="clear" w:color="auto" w:fill="FFFFFF"/>
              </w:rPr>
              <w:t xml:space="preserve">. </w:t>
            </w:r>
            <w:r>
              <w:rPr>
                <w:rFonts w:ascii="Times New Roman" w:hAnsi="Times New Roman"/>
                <w:color w:val="242424"/>
                <w:sz w:val="18"/>
                <w:szCs w:val="18"/>
                <w:shd w:val="clear" w:color="auto" w:fill="FFFFFF"/>
              </w:rPr>
              <w:t>Tiek prognozēts, ka tiks at</w:t>
            </w:r>
            <w:r w:rsidR="00C82ABB">
              <w:rPr>
                <w:rFonts w:ascii="Times New Roman" w:hAnsi="Times New Roman"/>
                <w:color w:val="242424"/>
                <w:sz w:val="18"/>
                <w:szCs w:val="18"/>
                <w:shd w:val="clear" w:color="auto" w:fill="FFFFFF"/>
              </w:rPr>
              <w:t>b</w:t>
            </w:r>
            <w:r>
              <w:rPr>
                <w:rFonts w:ascii="Times New Roman" w:hAnsi="Times New Roman"/>
                <w:color w:val="242424"/>
                <w:sz w:val="18"/>
                <w:szCs w:val="18"/>
                <w:shd w:val="clear" w:color="auto" w:fill="FFFFFF"/>
              </w:rPr>
              <w:t xml:space="preserve">alstīti </w:t>
            </w:r>
            <w:r w:rsidR="007103FE">
              <w:rPr>
                <w:rFonts w:ascii="Times New Roman" w:hAnsi="Times New Roman"/>
                <w:color w:val="242424"/>
                <w:sz w:val="18"/>
                <w:szCs w:val="18"/>
                <w:shd w:val="clear" w:color="auto" w:fill="FFFFFF"/>
              </w:rPr>
              <w:t xml:space="preserve">30 </w:t>
            </w:r>
            <w:r>
              <w:rPr>
                <w:rFonts w:ascii="Times New Roman" w:hAnsi="Times New Roman"/>
                <w:color w:val="242424"/>
                <w:sz w:val="18"/>
                <w:szCs w:val="18"/>
                <w:shd w:val="clear" w:color="auto" w:fill="FFFFFF"/>
              </w:rPr>
              <w:t>komersanti</w:t>
            </w:r>
            <w:r w:rsidR="00F33B40">
              <w:rPr>
                <w:rFonts w:ascii="Times New Roman" w:hAnsi="Times New Roman"/>
                <w:color w:val="242424"/>
                <w:sz w:val="18"/>
                <w:szCs w:val="18"/>
                <w:shd w:val="clear" w:color="auto" w:fill="FFFFFF"/>
              </w:rPr>
              <w:t xml:space="preserve"> </w:t>
            </w:r>
            <w:r w:rsidR="008602ED">
              <w:rPr>
                <w:rFonts w:ascii="Times New Roman" w:hAnsi="Times New Roman"/>
                <w:color w:val="242424"/>
                <w:sz w:val="18"/>
                <w:szCs w:val="18"/>
                <w:shd w:val="clear" w:color="auto" w:fill="FFFFFF"/>
              </w:rPr>
              <w:t xml:space="preserve">(no tiem </w:t>
            </w:r>
            <w:r w:rsidR="00181900">
              <w:rPr>
                <w:rFonts w:ascii="Times New Roman" w:hAnsi="Times New Roman"/>
                <w:color w:val="242424"/>
                <w:sz w:val="18"/>
                <w:szCs w:val="18"/>
                <w:shd w:val="clear" w:color="auto" w:fill="FFFFFF"/>
              </w:rPr>
              <w:t>2</w:t>
            </w:r>
            <w:r w:rsidR="008602ED">
              <w:rPr>
                <w:rFonts w:ascii="Times New Roman" w:hAnsi="Times New Roman"/>
                <w:color w:val="242424"/>
                <w:sz w:val="18"/>
                <w:szCs w:val="18"/>
                <w:shd w:val="clear" w:color="auto" w:fill="FFFFFF"/>
              </w:rPr>
              <w:t xml:space="preserve">2 </w:t>
            </w:r>
            <w:r w:rsidR="00F41309">
              <w:rPr>
                <w:rFonts w:ascii="Times New Roman" w:hAnsi="Times New Roman"/>
                <w:color w:val="242424"/>
                <w:sz w:val="18"/>
                <w:szCs w:val="18"/>
                <w:shd w:val="clear" w:color="auto" w:fill="FFFFFF"/>
              </w:rPr>
              <w:t>komersanti</w:t>
            </w:r>
            <w:r w:rsidR="00F33B40">
              <w:rPr>
                <w:rFonts w:ascii="Times New Roman" w:hAnsi="Times New Roman"/>
                <w:color w:val="242424"/>
                <w:sz w:val="18"/>
                <w:szCs w:val="18"/>
                <w:shd w:val="clear" w:color="auto" w:fill="FFFFFF"/>
              </w:rPr>
              <w:t xml:space="preserve">, kas saņem grantus un </w:t>
            </w:r>
            <w:r w:rsidR="008843CC">
              <w:rPr>
                <w:rFonts w:ascii="Times New Roman" w:hAnsi="Times New Roman"/>
                <w:color w:val="242424"/>
                <w:sz w:val="18"/>
                <w:szCs w:val="18"/>
                <w:shd w:val="clear" w:color="auto" w:fill="FFFFFF"/>
              </w:rPr>
              <w:t>20</w:t>
            </w:r>
            <w:r w:rsidR="00F33B40">
              <w:rPr>
                <w:rFonts w:ascii="Times New Roman" w:hAnsi="Times New Roman"/>
                <w:color w:val="242424"/>
                <w:sz w:val="18"/>
                <w:szCs w:val="18"/>
                <w:shd w:val="clear" w:color="auto" w:fill="FFFFFF"/>
              </w:rPr>
              <w:t xml:space="preserve">, kas saņem nefinansiālu atbalstu, ņemot vērā arī to, ka atbalstu (grantus un nefinanšu atbalstu) saņēmušo skaits var pārklāties, tiek norādīti </w:t>
            </w:r>
            <w:r w:rsidR="00181900">
              <w:rPr>
                <w:rFonts w:ascii="Times New Roman" w:hAnsi="Times New Roman"/>
                <w:color w:val="242424"/>
                <w:sz w:val="18"/>
                <w:szCs w:val="18"/>
                <w:shd w:val="clear" w:color="auto" w:fill="FFFFFF"/>
              </w:rPr>
              <w:t>3</w:t>
            </w:r>
            <w:r w:rsidR="0086078C">
              <w:rPr>
                <w:rFonts w:ascii="Times New Roman" w:hAnsi="Times New Roman"/>
                <w:color w:val="242424"/>
                <w:sz w:val="18"/>
                <w:szCs w:val="18"/>
                <w:shd w:val="clear" w:color="auto" w:fill="FFFFFF"/>
              </w:rPr>
              <w:t>0</w:t>
            </w:r>
            <w:r w:rsidR="00F33B40">
              <w:rPr>
                <w:rFonts w:ascii="Times New Roman" w:hAnsi="Times New Roman"/>
                <w:color w:val="242424"/>
                <w:sz w:val="18"/>
                <w:szCs w:val="18"/>
                <w:shd w:val="clear" w:color="auto" w:fill="FFFFFF"/>
              </w:rPr>
              <w:t xml:space="preserve"> komersanti)</w:t>
            </w:r>
            <w:r>
              <w:rPr>
                <w:rFonts w:ascii="Times New Roman" w:hAnsi="Times New Roman"/>
                <w:color w:val="242424"/>
                <w:sz w:val="18"/>
                <w:szCs w:val="18"/>
                <w:shd w:val="clear" w:color="auto" w:fill="FFFFFF"/>
              </w:rPr>
              <w:t>;</w:t>
            </w:r>
          </w:p>
          <w:p w14:paraId="270AA62B" w14:textId="54B51233" w:rsidR="00694C7E" w:rsidRPr="005579A4" w:rsidRDefault="00694C7E" w:rsidP="00E80910">
            <w:pPr>
              <w:pStyle w:val="ListParagraph"/>
              <w:numPr>
                <w:ilvl w:val="0"/>
                <w:numId w:val="8"/>
              </w:numPr>
              <w:spacing w:after="0" w:line="240" w:lineRule="auto"/>
              <w:jc w:val="both"/>
              <w:rPr>
                <w:rFonts w:ascii="Times New Roman" w:hAnsi="Times New Roman"/>
                <w:color w:val="242424"/>
                <w:sz w:val="18"/>
                <w:szCs w:val="18"/>
                <w:shd w:val="clear" w:color="auto" w:fill="FFFFFF"/>
              </w:rPr>
            </w:pPr>
            <w:r w:rsidRPr="00C02FFE">
              <w:rPr>
                <w:rFonts w:ascii="Times New Roman" w:hAnsi="Times New Roman"/>
                <w:color w:val="242424"/>
                <w:sz w:val="18"/>
                <w:szCs w:val="18"/>
                <w:shd w:val="clear" w:color="auto" w:fill="FFFFFF"/>
              </w:rPr>
              <w:lastRenderedPageBreak/>
              <w:t xml:space="preserve">Finansējums programmai "Reģionālie biznesa inkubatori un radošo industriju inkubators" 1 000 000 euro. Tiek prognozēts, ka tiks atbalstīti </w:t>
            </w:r>
            <w:r w:rsidRPr="00352E1C">
              <w:rPr>
                <w:rFonts w:ascii="Times New Roman" w:hAnsi="Times New Roman"/>
                <w:b/>
                <w:bCs/>
                <w:color w:val="242424"/>
                <w:sz w:val="18"/>
                <w:szCs w:val="18"/>
                <w:shd w:val="clear" w:color="auto" w:fill="FFFFFF"/>
              </w:rPr>
              <w:t>1</w:t>
            </w:r>
            <w:r w:rsidR="0035159E">
              <w:rPr>
                <w:rFonts w:ascii="Times New Roman" w:hAnsi="Times New Roman"/>
                <w:b/>
                <w:bCs/>
                <w:color w:val="242424"/>
                <w:sz w:val="18"/>
                <w:szCs w:val="18"/>
                <w:shd w:val="clear" w:color="auto" w:fill="FFFFFF"/>
              </w:rPr>
              <w:t>0</w:t>
            </w:r>
            <w:r w:rsidRPr="00C02FFE">
              <w:rPr>
                <w:rFonts w:ascii="Times New Roman" w:hAnsi="Times New Roman"/>
                <w:color w:val="242424"/>
                <w:sz w:val="18"/>
                <w:szCs w:val="18"/>
                <w:shd w:val="clear" w:color="auto" w:fill="FFFFFF"/>
              </w:rPr>
              <w:t xml:space="preserve"> komersanti</w:t>
            </w:r>
            <w:r w:rsidR="00C02FFE">
              <w:rPr>
                <w:rFonts w:ascii="Times New Roman" w:hAnsi="Times New Roman"/>
                <w:color w:val="242424"/>
                <w:sz w:val="18"/>
                <w:szCs w:val="18"/>
                <w:shd w:val="clear" w:color="auto" w:fill="FFFFFF"/>
              </w:rPr>
              <w:t xml:space="preserve"> (t.sk. 10 at</w:t>
            </w:r>
            <w:r w:rsidR="00AF0821">
              <w:rPr>
                <w:rFonts w:ascii="Times New Roman" w:hAnsi="Times New Roman"/>
                <w:color w:val="242424"/>
                <w:sz w:val="18"/>
                <w:szCs w:val="18"/>
                <w:shd w:val="clear" w:color="auto" w:fill="FFFFFF"/>
              </w:rPr>
              <w:t>balstīto komersantu skaits</w:t>
            </w:r>
            <w:r w:rsidR="006B401C">
              <w:rPr>
                <w:rFonts w:ascii="Times New Roman" w:hAnsi="Times New Roman"/>
                <w:color w:val="242424"/>
                <w:sz w:val="18"/>
                <w:szCs w:val="18"/>
                <w:shd w:val="clear" w:color="auto" w:fill="FFFFFF"/>
              </w:rPr>
              <w:t xml:space="preserve">, kas </w:t>
            </w:r>
            <w:r w:rsidR="00E543DD">
              <w:rPr>
                <w:rFonts w:ascii="Times New Roman" w:hAnsi="Times New Roman"/>
                <w:color w:val="242424"/>
                <w:sz w:val="18"/>
                <w:szCs w:val="18"/>
                <w:shd w:val="clear" w:color="auto" w:fill="FFFFFF"/>
              </w:rPr>
              <w:t xml:space="preserve">saņem grantus un </w:t>
            </w:r>
            <w:r w:rsidR="00B6464C">
              <w:rPr>
                <w:rFonts w:ascii="Times New Roman" w:hAnsi="Times New Roman"/>
                <w:color w:val="242424"/>
                <w:sz w:val="18"/>
                <w:szCs w:val="18"/>
                <w:shd w:val="clear" w:color="auto" w:fill="FFFFFF"/>
              </w:rPr>
              <w:t>10</w:t>
            </w:r>
            <w:r w:rsidR="00E543DD">
              <w:rPr>
                <w:rFonts w:ascii="Times New Roman" w:hAnsi="Times New Roman"/>
                <w:color w:val="242424"/>
                <w:sz w:val="18"/>
                <w:szCs w:val="18"/>
                <w:shd w:val="clear" w:color="auto" w:fill="FFFFFF"/>
              </w:rPr>
              <w:t>, kas saņem nefinansiālu atbalstu</w:t>
            </w:r>
            <w:r w:rsidR="00A569DE">
              <w:rPr>
                <w:rFonts w:ascii="Times New Roman" w:hAnsi="Times New Roman"/>
                <w:color w:val="242424"/>
                <w:sz w:val="18"/>
                <w:szCs w:val="18"/>
                <w:shd w:val="clear" w:color="auto" w:fill="FFFFFF"/>
              </w:rPr>
              <w:t>,</w:t>
            </w:r>
            <w:r w:rsidR="00F91DBA">
              <w:rPr>
                <w:rFonts w:ascii="Times New Roman" w:hAnsi="Times New Roman"/>
                <w:color w:val="242424"/>
                <w:sz w:val="18"/>
                <w:szCs w:val="18"/>
                <w:shd w:val="clear" w:color="auto" w:fill="FFFFFF"/>
              </w:rPr>
              <w:t xml:space="preserve"> </w:t>
            </w:r>
            <w:r w:rsidR="00A569DE">
              <w:rPr>
                <w:rFonts w:ascii="Times New Roman" w:hAnsi="Times New Roman"/>
                <w:color w:val="242424"/>
                <w:sz w:val="18"/>
                <w:szCs w:val="18"/>
                <w:shd w:val="clear" w:color="auto" w:fill="FFFFFF"/>
              </w:rPr>
              <w:t xml:space="preserve">ņemot vērā arī to, ka </w:t>
            </w:r>
            <w:r w:rsidR="005579A4">
              <w:rPr>
                <w:rFonts w:ascii="Times New Roman" w:hAnsi="Times New Roman"/>
                <w:color w:val="242424"/>
                <w:sz w:val="18"/>
                <w:szCs w:val="18"/>
                <w:shd w:val="clear" w:color="auto" w:fill="FFFFFF"/>
              </w:rPr>
              <w:t xml:space="preserve">atbalstu </w:t>
            </w:r>
            <w:r w:rsidR="00434442">
              <w:rPr>
                <w:rFonts w:ascii="Times New Roman" w:hAnsi="Times New Roman"/>
                <w:color w:val="242424"/>
                <w:sz w:val="18"/>
                <w:szCs w:val="18"/>
                <w:shd w:val="clear" w:color="auto" w:fill="FFFFFF"/>
              </w:rPr>
              <w:t>(grantus un nefinanšu atbalstu)</w:t>
            </w:r>
            <w:r w:rsidR="005579A4">
              <w:rPr>
                <w:rFonts w:ascii="Times New Roman" w:hAnsi="Times New Roman"/>
                <w:color w:val="242424"/>
                <w:sz w:val="18"/>
                <w:szCs w:val="18"/>
                <w:shd w:val="clear" w:color="auto" w:fill="FFFFFF"/>
              </w:rPr>
              <w:t xml:space="preserve"> saņēmušo skai</w:t>
            </w:r>
            <w:r w:rsidR="00434442">
              <w:rPr>
                <w:rFonts w:ascii="Times New Roman" w:hAnsi="Times New Roman"/>
                <w:color w:val="242424"/>
                <w:sz w:val="18"/>
                <w:szCs w:val="18"/>
                <w:shd w:val="clear" w:color="auto" w:fill="FFFFFF"/>
              </w:rPr>
              <w:t>ts var</w:t>
            </w:r>
            <w:r w:rsidR="00A569DE">
              <w:rPr>
                <w:rFonts w:ascii="Times New Roman" w:hAnsi="Times New Roman"/>
                <w:color w:val="242424"/>
                <w:sz w:val="18"/>
                <w:szCs w:val="18"/>
                <w:shd w:val="clear" w:color="auto" w:fill="FFFFFF"/>
              </w:rPr>
              <w:t xml:space="preserve"> pārklāties</w:t>
            </w:r>
            <w:r w:rsidR="00434442">
              <w:rPr>
                <w:rFonts w:ascii="Times New Roman" w:hAnsi="Times New Roman"/>
                <w:color w:val="242424"/>
                <w:sz w:val="18"/>
                <w:szCs w:val="18"/>
                <w:shd w:val="clear" w:color="auto" w:fill="FFFFFF"/>
              </w:rPr>
              <w:t>, tiek norādīti 1</w:t>
            </w:r>
            <w:r w:rsidR="0035159E">
              <w:rPr>
                <w:rFonts w:ascii="Times New Roman" w:hAnsi="Times New Roman"/>
                <w:color w:val="242424"/>
                <w:sz w:val="18"/>
                <w:szCs w:val="18"/>
                <w:shd w:val="clear" w:color="auto" w:fill="FFFFFF"/>
              </w:rPr>
              <w:t>0</w:t>
            </w:r>
            <w:r w:rsidR="00434442">
              <w:rPr>
                <w:rFonts w:ascii="Times New Roman" w:hAnsi="Times New Roman"/>
                <w:color w:val="242424"/>
                <w:sz w:val="18"/>
                <w:szCs w:val="18"/>
                <w:shd w:val="clear" w:color="auto" w:fill="FFFFFF"/>
              </w:rPr>
              <w:t xml:space="preserve"> </w:t>
            </w:r>
            <w:r w:rsidR="00F56A7A">
              <w:rPr>
                <w:rFonts w:ascii="Times New Roman" w:hAnsi="Times New Roman"/>
                <w:color w:val="242424"/>
                <w:sz w:val="18"/>
                <w:szCs w:val="18"/>
                <w:shd w:val="clear" w:color="auto" w:fill="FFFFFF"/>
              </w:rPr>
              <w:t xml:space="preserve">unikālie </w:t>
            </w:r>
            <w:r w:rsidR="00434442">
              <w:rPr>
                <w:rFonts w:ascii="Times New Roman" w:hAnsi="Times New Roman"/>
                <w:color w:val="242424"/>
                <w:sz w:val="18"/>
                <w:szCs w:val="18"/>
                <w:shd w:val="clear" w:color="auto" w:fill="FFFFFF"/>
              </w:rPr>
              <w:t>komersanti</w:t>
            </w:r>
            <w:r w:rsidR="00E543DD">
              <w:rPr>
                <w:rFonts w:ascii="Times New Roman" w:hAnsi="Times New Roman"/>
                <w:color w:val="242424"/>
                <w:sz w:val="18"/>
                <w:szCs w:val="18"/>
                <w:shd w:val="clear" w:color="auto" w:fill="FFFFFF"/>
              </w:rPr>
              <w:t>).</w:t>
            </w:r>
          </w:p>
          <w:p w14:paraId="79995865" w14:textId="77777777" w:rsidR="00622A94" w:rsidRPr="00C02FFE" w:rsidRDefault="00622A94" w:rsidP="00622A94">
            <w:pPr>
              <w:pStyle w:val="ListParagraph"/>
              <w:spacing w:after="0" w:line="240" w:lineRule="auto"/>
              <w:ind w:left="360"/>
              <w:jc w:val="both"/>
              <w:rPr>
                <w:rFonts w:ascii="Times New Roman" w:eastAsia="Times New Roman" w:hAnsi="Times New Roman"/>
                <w:color w:val="000000" w:themeColor="text1"/>
                <w:sz w:val="18"/>
                <w:szCs w:val="18"/>
              </w:rPr>
            </w:pPr>
          </w:p>
          <w:p w14:paraId="2671754F" w14:textId="18948AD5" w:rsidR="00694C7E" w:rsidRPr="00694C7E" w:rsidRDefault="00694C7E" w:rsidP="007726BD">
            <w:pPr>
              <w:spacing w:after="0" w:line="240" w:lineRule="auto"/>
              <w:jc w:val="both"/>
              <w:rPr>
                <w:rFonts w:ascii="Times New Roman" w:hAnsi="Times New Roman"/>
                <w:i/>
                <w:iCs/>
                <w:sz w:val="18"/>
                <w:szCs w:val="18"/>
              </w:rPr>
            </w:pPr>
            <w:r w:rsidRPr="00702641">
              <w:rPr>
                <w:rFonts w:ascii="Times New Roman" w:hAnsi="Times New Roman"/>
                <w:i/>
                <w:iCs/>
                <w:sz w:val="18"/>
                <w:szCs w:val="18"/>
              </w:rPr>
              <w:t xml:space="preserve">Iznākuma rādītājam sasniegšanai paredzētais finansējums: </w:t>
            </w:r>
            <w:r w:rsidR="00181900">
              <w:rPr>
                <w:rFonts w:ascii="Times New Roman" w:hAnsi="Times New Roman"/>
                <w:i/>
                <w:iCs/>
                <w:sz w:val="18"/>
                <w:szCs w:val="18"/>
              </w:rPr>
              <w:t>  6 980 300</w:t>
            </w:r>
            <w:r w:rsidRPr="00702641">
              <w:rPr>
                <w:rFonts w:ascii="Times New Roman" w:hAnsi="Times New Roman"/>
                <w:i/>
                <w:iCs/>
                <w:sz w:val="18"/>
                <w:szCs w:val="18"/>
              </w:rPr>
              <w:t xml:space="preserve">  EUR</w:t>
            </w:r>
            <w:r>
              <w:rPr>
                <w:rFonts w:ascii="Times New Roman" w:hAnsi="Times New Roman"/>
                <w:i/>
                <w:iCs/>
                <w:sz w:val="18"/>
                <w:szCs w:val="18"/>
              </w:rPr>
              <w:t>.</w:t>
            </w:r>
          </w:p>
          <w:p w14:paraId="6DF70A40" w14:textId="39511EB4" w:rsidR="00700C97" w:rsidRDefault="00700C97" w:rsidP="007726BD">
            <w:pPr>
              <w:spacing w:after="0" w:line="240" w:lineRule="auto"/>
              <w:jc w:val="both"/>
              <w:rPr>
                <w:rFonts w:ascii="Times New Roman" w:hAnsi="Times New Roman"/>
                <w:b/>
                <w:bCs/>
                <w:sz w:val="18"/>
                <w:szCs w:val="18"/>
                <w:u w:val="single"/>
              </w:rPr>
            </w:pPr>
          </w:p>
          <w:p w14:paraId="7813B721" w14:textId="77777777" w:rsidR="00700C97" w:rsidRPr="00475CF7" w:rsidRDefault="00700C97" w:rsidP="007726BD">
            <w:pPr>
              <w:spacing w:after="0" w:line="240" w:lineRule="auto"/>
              <w:jc w:val="both"/>
              <w:rPr>
                <w:rFonts w:ascii="Times New Roman" w:hAnsi="Times New Roman"/>
                <w:b/>
                <w:bCs/>
                <w:sz w:val="18"/>
                <w:szCs w:val="18"/>
                <w:u w:val="single"/>
              </w:rPr>
            </w:pPr>
          </w:p>
          <w:p w14:paraId="5172D498" w14:textId="5275B260" w:rsidR="009F486C" w:rsidRDefault="00E11D75" w:rsidP="007726BD">
            <w:pPr>
              <w:spacing w:after="0" w:line="240" w:lineRule="auto"/>
              <w:jc w:val="both"/>
              <w:rPr>
                <w:rFonts w:ascii="Times New Roman" w:hAnsi="Times New Roman"/>
                <w:b/>
                <w:sz w:val="18"/>
                <w:szCs w:val="18"/>
                <w:u w:val="single"/>
              </w:rPr>
            </w:pPr>
            <w:r w:rsidRPr="002A66D8">
              <w:rPr>
                <w:rFonts w:ascii="Times New Roman" w:hAnsi="Times New Roman"/>
                <w:bCs/>
                <w:sz w:val="18"/>
                <w:szCs w:val="18"/>
              </w:rPr>
              <w:t>i.13.1.1.e</w:t>
            </w:r>
            <w:r>
              <w:rPr>
                <w:rFonts w:eastAsia="Times New Roman"/>
                <w:sz w:val="20"/>
                <w:szCs w:val="20"/>
                <w:lang w:eastAsia="lv-LV"/>
              </w:rPr>
              <w:t xml:space="preserve"> </w:t>
            </w:r>
            <w:r w:rsidR="009F486C" w:rsidRPr="00475CF7">
              <w:rPr>
                <w:rFonts w:ascii="Times New Roman" w:hAnsi="Times New Roman"/>
                <w:b/>
                <w:sz w:val="18"/>
                <w:szCs w:val="18"/>
                <w:u w:val="single"/>
              </w:rPr>
              <w:t>Atbalstīto komersantu skaits,  kas saņem grantus</w:t>
            </w:r>
          </w:p>
          <w:p w14:paraId="6B85C57C" w14:textId="05F62342" w:rsidR="00EC2E34" w:rsidRDefault="00EC2E34" w:rsidP="007726BD">
            <w:pPr>
              <w:spacing w:after="0" w:line="240" w:lineRule="auto"/>
              <w:jc w:val="both"/>
              <w:rPr>
                <w:rFonts w:ascii="Times New Roman" w:hAnsi="Times New Roman"/>
                <w:b/>
                <w:sz w:val="16"/>
                <w:szCs w:val="16"/>
                <w:u w:val="single"/>
              </w:rPr>
            </w:pPr>
          </w:p>
          <w:p w14:paraId="2C00D921" w14:textId="51A49AD0" w:rsidR="00671084" w:rsidRDefault="00EC2E34" w:rsidP="00671084">
            <w:pPr>
              <w:spacing w:after="0" w:line="240" w:lineRule="auto"/>
              <w:jc w:val="both"/>
              <w:rPr>
                <w:rFonts w:ascii="Times New Roman" w:eastAsia="Times New Roman" w:hAnsi="Times New Roman"/>
                <w:color w:val="000000" w:themeColor="text1"/>
                <w:sz w:val="18"/>
                <w:szCs w:val="18"/>
              </w:rPr>
            </w:pPr>
            <w:r w:rsidRPr="00475CF7">
              <w:rPr>
                <w:rFonts w:ascii="Times New Roman" w:hAnsi="Times New Roman"/>
                <w:bCs/>
                <w:sz w:val="18"/>
                <w:szCs w:val="18"/>
              </w:rPr>
              <w:t>Rādītāji</w:t>
            </w:r>
            <w:r w:rsidR="00671084" w:rsidRPr="00475CF7">
              <w:rPr>
                <w:rFonts w:ascii="Times New Roman" w:hAnsi="Times New Roman"/>
                <w:bCs/>
                <w:sz w:val="18"/>
                <w:szCs w:val="18"/>
              </w:rPr>
              <w:t xml:space="preserve"> saistīti ar</w:t>
            </w:r>
            <w:r w:rsidR="00671084" w:rsidRPr="00671084">
              <w:rPr>
                <w:rFonts w:ascii="Times New Roman" w:eastAsia="Times New Roman" w:hAnsi="Times New Roman"/>
                <w:color w:val="000000" w:themeColor="text1"/>
                <w:sz w:val="18"/>
                <w:szCs w:val="18"/>
              </w:rPr>
              <w:t xml:space="preserve"> 3.1.1.SAM</w:t>
            </w:r>
            <w:r w:rsidR="00671084">
              <w:rPr>
                <w:rFonts w:ascii="Times New Roman" w:eastAsia="Times New Roman" w:hAnsi="Times New Roman"/>
                <w:color w:val="000000" w:themeColor="text1"/>
                <w:sz w:val="18"/>
                <w:szCs w:val="18"/>
              </w:rPr>
              <w:t xml:space="preserve"> un </w:t>
            </w:r>
            <w:r w:rsidR="00671084" w:rsidRPr="00671084">
              <w:rPr>
                <w:rFonts w:ascii="Times New Roman" w:eastAsia="Times New Roman" w:hAnsi="Times New Roman"/>
                <w:color w:val="000000" w:themeColor="text1"/>
                <w:sz w:val="18"/>
                <w:szCs w:val="18"/>
              </w:rPr>
              <w:t>3.2.1. SAM, tā kā finansējums tiks ieguldīts šajā SAM</w:t>
            </w:r>
            <w:r w:rsidR="00671084">
              <w:rPr>
                <w:rFonts w:ascii="Times New Roman" w:eastAsia="Times New Roman" w:hAnsi="Times New Roman"/>
                <w:color w:val="000000" w:themeColor="text1"/>
                <w:sz w:val="18"/>
                <w:szCs w:val="18"/>
              </w:rPr>
              <w:t>.</w:t>
            </w:r>
          </w:p>
          <w:p w14:paraId="1D98542C" w14:textId="77E1DB12" w:rsidR="00671084" w:rsidRDefault="00671084" w:rsidP="00671084">
            <w:pPr>
              <w:spacing w:after="0" w:line="240" w:lineRule="auto"/>
              <w:jc w:val="both"/>
              <w:rPr>
                <w:rFonts w:ascii="Times New Roman" w:eastAsia="Times New Roman" w:hAnsi="Times New Roman"/>
                <w:color w:val="000000" w:themeColor="text1"/>
                <w:sz w:val="18"/>
                <w:szCs w:val="18"/>
              </w:rPr>
            </w:pPr>
          </w:p>
          <w:p w14:paraId="7AE3142A" w14:textId="616F3161" w:rsidR="006A0502" w:rsidRPr="00702641" w:rsidRDefault="006A0502" w:rsidP="006A0502">
            <w:pPr>
              <w:spacing w:after="0" w:line="240" w:lineRule="auto"/>
              <w:jc w:val="both"/>
              <w:rPr>
                <w:rFonts w:ascii="Times New Roman" w:hAnsi="Times New Roman"/>
                <w:i/>
                <w:iCs/>
                <w:sz w:val="18"/>
                <w:szCs w:val="18"/>
              </w:rPr>
            </w:pPr>
            <w:r w:rsidRPr="00702641">
              <w:rPr>
                <w:rFonts w:ascii="Times New Roman" w:hAnsi="Times New Roman"/>
                <w:i/>
                <w:iCs/>
                <w:sz w:val="18"/>
                <w:szCs w:val="18"/>
              </w:rPr>
              <w:t>Definīcija</w:t>
            </w:r>
            <w:r w:rsidRPr="002640C5">
              <w:rPr>
                <w:rFonts w:ascii="Times New Roman" w:hAnsi="Times New Roman"/>
                <w:i/>
                <w:iCs/>
                <w:sz w:val="18"/>
                <w:szCs w:val="18"/>
                <w:vertAlign w:val="superscript"/>
              </w:rPr>
              <w:fldChar w:fldCharType="begin"/>
            </w:r>
            <w:r w:rsidRPr="00702641">
              <w:rPr>
                <w:rFonts w:ascii="Times New Roman" w:hAnsi="Times New Roman"/>
                <w:i/>
                <w:iCs/>
                <w:sz w:val="18"/>
                <w:szCs w:val="18"/>
                <w:vertAlign w:val="superscript"/>
              </w:rPr>
              <w:instrText xml:space="preserve"> NOTEREF _Ref526335223 \h  \* MERGEFORMAT </w:instrText>
            </w:r>
            <w:r w:rsidRPr="002640C5">
              <w:rPr>
                <w:rFonts w:ascii="Times New Roman" w:hAnsi="Times New Roman"/>
                <w:i/>
                <w:iCs/>
                <w:sz w:val="18"/>
                <w:szCs w:val="18"/>
                <w:vertAlign w:val="superscript"/>
              </w:rPr>
            </w:r>
            <w:r w:rsidRPr="002640C5">
              <w:rPr>
                <w:rFonts w:ascii="Times New Roman" w:hAnsi="Times New Roman"/>
                <w:i/>
                <w:iCs/>
                <w:sz w:val="18"/>
                <w:szCs w:val="18"/>
                <w:vertAlign w:val="superscript"/>
              </w:rPr>
              <w:fldChar w:fldCharType="separate"/>
            </w:r>
            <w:r w:rsidRPr="00702641">
              <w:rPr>
                <w:rFonts w:ascii="Times New Roman" w:hAnsi="Times New Roman"/>
                <w:i/>
                <w:iCs/>
                <w:sz w:val="18"/>
                <w:szCs w:val="18"/>
                <w:vertAlign w:val="superscript"/>
              </w:rPr>
              <w:t>2</w:t>
            </w:r>
            <w:r w:rsidRPr="002640C5">
              <w:rPr>
                <w:rFonts w:ascii="Times New Roman" w:hAnsi="Times New Roman"/>
                <w:i/>
                <w:iCs/>
                <w:sz w:val="18"/>
                <w:szCs w:val="18"/>
                <w:vertAlign w:val="superscript"/>
              </w:rPr>
              <w:fldChar w:fldCharType="end"/>
            </w:r>
            <w:r w:rsidRPr="00702641">
              <w:rPr>
                <w:rFonts w:ascii="Times New Roman" w:hAnsi="Times New Roman"/>
                <w:i/>
                <w:iCs/>
                <w:sz w:val="18"/>
                <w:szCs w:val="18"/>
              </w:rPr>
              <w:t>:</w:t>
            </w:r>
            <w:r w:rsidRPr="00702641">
              <w:rPr>
                <w:rFonts w:ascii="Times New Roman" w:hAnsi="Times New Roman"/>
                <w:sz w:val="18"/>
                <w:szCs w:val="18"/>
              </w:rPr>
              <w:t xml:space="preserve"> Kopējais rādītājs, norādot datus par </w:t>
            </w:r>
            <w:r w:rsidRPr="006D25C5">
              <w:rPr>
                <w:rFonts w:ascii="Times New Roman" w:hAnsi="Times New Roman"/>
                <w:sz w:val="18"/>
                <w:szCs w:val="18"/>
              </w:rPr>
              <w:t>3.2.1.2.</w:t>
            </w:r>
            <w:r>
              <w:rPr>
                <w:rFonts w:ascii="Times New Roman" w:hAnsi="Times New Roman"/>
                <w:sz w:val="18"/>
                <w:szCs w:val="18"/>
              </w:rPr>
              <w:t xml:space="preserve"> </w:t>
            </w:r>
            <w:r w:rsidRPr="006D25C5">
              <w:rPr>
                <w:rFonts w:ascii="Times New Roman" w:hAnsi="Times New Roman"/>
                <w:sz w:val="18"/>
                <w:szCs w:val="18"/>
              </w:rPr>
              <w:t>un 3.1.1.6</w:t>
            </w:r>
            <w:r>
              <w:rPr>
                <w:rFonts w:ascii="Times New Roman" w:hAnsi="Times New Roman"/>
                <w:sz w:val="18"/>
                <w:szCs w:val="18"/>
              </w:rPr>
              <w:t xml:space="preserve"> pasākumiem</w:t>
            </w:r>
            <w:r w:rsidR="00A91BDF">
              <w:rPr>
                <w:rFonts w:ascii="Times New Roman" w:hAnsi="Times New Roman"/>
                <w:sz w:val="18"/>
                <w:szCs w:val="18"/>
              </w:rPr>
              <w:t>.</w:t>
            </w:r>
          </w:p>
          <w:p w14:paraId="4EB33C2B" w14:textId="37969D3B" w:rsidR="00EC2E34" w:rsidRPr="00671084" w:rsidRDefault="00EC2E34" w:rsidP="007726BD">
            <w:pPr>
              <w:spacing w:after="0" w:line="240" w:lineRule="auto"/>
              <w:jc w:val="both"/>
              <w:rPr>
                <w:rFonts w:ascii="Times New Roman" w:hAnsi="Times New Roman"/>
                <w:bCs/>
                <w:sz w:val="16"/>
                <w:szCs w:val="16"/>
              </w:rPr>
            </w:pPr>
          </w:p>
          <w:p w14:paraId="730CCEA6" w14:textId="77777777" w:rsidR="006A0502" w:rsidRPr="00702641" w:rsidRDefault="006A0502" w:rsidP="006A0502">
            <w:pPr>
              <w:spacing w:after="0" w:line="240" w:lineRule="auto"/>
              <w:jc w:val="both"/>
              <w:rPr>
                <w:rFonts w:ascii="Times New Roman" w:hAnsi="Times New Roman"/>
                <w:sz w:val="18"/>
                <w:szCs w:val="18"/>
              </w:rPr>
            </w:pPr>
            <w:r w:rsidRPr="00702641">
              <w:rPr>
                <w:rFonts w:ascii="Times New Roman" w:hAnsi="Times New Roman"/>
                <w:i/>
                <w:sz w:val="18"/>
                <w:szCs w:val="18"/>
              </w:rPr>
              <w:t>Datu avots</w:t>
            </w:r>
            <w:r w:rsidRPr="00702641">
              <w:rPr>
                <w:rFonts w:ascii="Times New Roman" w:hAnsi="Times New Roman"/>
                <w:sz w:val="18"/>
                <w:szCs w:val="18"/>
              </w:rPr>
              <w:t>: Projektu dati</w:t>
            </w:r>
          </w:p>
          <w:p w14:paraId="4B791403" w14:textId="7F01823D" w:rsidR="009F486C" w:rsidRDefault="009F486C" w:rsidP="007726BD">
            <w:pPr>
              <w:spacing w:after="0" w:line="240" w:lineRule="auto"/>
              <w:jc w:val="both"/>
              <w:rPr>
                <w:rFonts w:ascii="Times New Roman" w:hAnsi="Times New Roman"/>
                <w:b/>
                <w:sz w:val="16"/>
                <w:szCs w:val="16"/>
                <w:u w:val="single"/>
              </w:rPr>
            </w:pPr>
          </w:p>
          <w:p w14:paraId="77EE657A" w14:textId="7657893B" w:rsidR="009F486C" w:rsidRDefault="004B6A80" w:rsidP="007726BD">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Apkopošanas biežums un ieguves metodoloģija:</w:t>
            </w:r>
            <w:r w:rsidRPr="00DD2CE4">
              <w:rPr>
                <w:rFonts w:ascii="Times New Roman" w:hAnsi="Times New Roman"/>
                <w:color w:val="000000" w:themeColor="text1"/>
                <w:sz w:val="18"/>
                <w:szCs w:val="18"/>
              </w:rPr>
              <w:t xml:space="preserve"> reizi gadā, apkopojot informāciju par atbalstītajiem projektiem no projektu atskaitēm</w:t>
            </w:r>
          </w:p>
          <w:p w14:paraId="1738A5DB" w14:textId="733F7B20" w:rsidR="004B6A80" w:rsidRDefault="004B6A80" w:rsidP="007726BD">
            <w:pPr>
              <w:spacing w:after="0" w:line="240" w:lineRule="auto"/>
              <w:jc w:val="both"/>
              <w:rPr>
                <w:rFonts w:ascii="Times New Roman" w:hAnsi="Times New Roman"/>
                <w:b/>
                <w:color w:val="000000" w:themeColor="text1"/>
                <w:sz w:val="16"/>
                <w:szCs w:val="16"/>
                <w:u w:val="single"/>
              </w:rPr>
            </w:pPr>
          </w:p>
          <w:p w14:paraId="248D2518" w14:textId="77777777" w:rsidR="00DE2827" w:rsidRPr="00DD2CE4" w:rsidRDefault="00DE2827" w:rsidP="00DE2827">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Darbība, kas liek uzskatīt mērķa vērtību par izpildītu:</w:t>
            </w:r>
            <w:r w:rsidRPr="00DD2CE4">
              <w:rPr>
                <w:rFonts w:ascii="Times New Roman" w:hAnsi="Times New Roman"/>
                <w:color w:val="000000" w:themeColor="text1"/>
                <w:sz w:val="18"/>
                <w:szCs w:val="18"/>
              </w:rPr>
              <w:t xml:space="preserve"> rādītāju uzskaita, norādot unikālos gala saņēmējus (saimnieciskās darbības veicējus), ar kuriem noslēgts līgums un kuriem veikts vismaz viens maksājums</w:t>
            </w:r>
          </w:p>
          <w:p w14:paraId="65638025" w14:textId="55B6135C" w:rsidR="004B6A80" w:rsidRDefault="004B6A80" w:rsidP="007726BD">
            <w:pPr>
              <w:spacing w:after="0" w:line="240" w:lineRule="auto"/>
              <w:jc w:val="both"/>
              <w:rPr>
                <w:rFonts w:ascii="Times New Roman" w:eastAsiaTheme="minorHAnsi" w:hAnsi="Times New Roman"/>
                <w:b/>
                <w:sz w:val="16"/>
                <w:szCs w:val="16"/>
                <w:u w:val="single"/>
              </w:rPr>
            </w:pPr>
          </w:p>
          <w:p w14:paraId="45119114" w14:textId="159EDD68" w:rsidR="00DE2827" w:rsidRPr="007B1FDC" w:rsidRDefault="00DE2827" w:rsidP="007726BD">
            <w:pPr>
              <w:spacing w:after="0" w:line="240" w:lineRule="auto"/>
              <w:jc w:val="both"/>
              <w:rPr>
                <w:rFonts w:ascii="Times New Roman" w:eastAsiaTheme="minorHAnsi" w:hAnsi="Times New Roman"/>
                <w:bCs/>
                <w:sz w:val="18"/>
                <w:szCs w:val="18"/>
              </w:rPr>
            </w:pPr>
            <w:r w:rsidRPr="007B1FDC">
              <w:rPr>
                <w:rFonts w:ascii="Times New Roman" w:eastAsiaTheme="minorHAnsi" w:hAnsi="Times New Roman"/>
                <w:bCs/>
                <w:i/>
                <w:iCs/>
                <w:sz w:val="18"/>
                <w:szCs w:val="18"/>
              </w:rPr>
              <w:t>Mērķis 2023</w:t>
            </w:r>
            <w:r w:rsidRPr="002A66D8">
              <w:rPr>
                <w:rFonts w:ascii="Times New Roman" w:eastAsiaTheme="minorHAnsi" w:hAnsi="Times New Roman"/>
                <w:bCs/>
                <w:sz w:val="18"/>
                <w:szCs w:val="18"/>
              </w:rPr>
              <w:t xml:space="preserve">: </w:t>
            </w:r>
            <w:r w:rsidR="00181900">
              <w:rPr>
                <w:rFonts w:ascii="Times New Roman" w:eastAsiaTheme="minorHAnsi" w:hAnsi="Times New Roman"/>
                <w:bCs/>
                <w:sz w:val="18"/>
                <w:szCs w:val="18"/>
              </w:rPr>
              <w:t>3</w:t>
            </w:r>
            <w:r w:rsidR="0049525A">
              <w:rPr>
                <w:rFonts w:ascii="Times New Roman" w:eastAsiaTheme="minorHAnsi" w:hAnsi="Times New Roman"/>
                <w:bCs/>
                <w:sz w:val="18"/>
                <w:szCs w:val="18"/>
              </w:rPr>
              <w:t>2</w:t>
            </w:r>
            <w:r w:rsidRPr="007B1FDC">
              <w:rPr>
                <w:rFonts w:ascii="Times New Roman" w:eastAsiaTheme="minorHAnsi" w:hAnsi="Times New Roman"/>
                <w:bCs/>
                <w:sz w:val="18"/>
                <w:szCs w:val="18"/>
              </w:rPr>
              <w:t xml:space="preserve"> komersanti</w:t>
            </w:r>
          </w:p>
          <w:p w14:paraId="56B85D55" w14:textId="77777777" w:rsidR="007B1FDC" w:rsidRDefault="007B1FDC" w:rsidP="007726BD">
            <w:pPr>
              <w:spacing w:after="0" w:line="240" w:lineRule="auto"/>
              <w:jc w:val="both"/>
              <w:rPr>
                <w:rFonts w:ascii="Times New Roman" w:eastAsiaTheme="minorHAnsi" w:hAnsi="Times New Roman"/>
                <w:b/>
                <w:sz w:val="16"/>
                <w:szCs w:val="16"/>
                <w:u w:val="single"/>
              </w:rPr>
            </w:pPr>
          </w:p>
          <w:p w14:paraId="0D1D538C" w14:textId="0F52DCD0" w:rsidR="007B1FDC" w:rsidRPr="00702641" w:rsidRDefault="007B1FDC" w:rsidP="007B1FDC">
            <w:pPr>
              <w:spacing w:after="0" w:line="240" w:lineRule="auto"/>
              <w:jc w:val="both"/>
              <w:rPr>
                <w:rFonts w:ascii="Times New Roman" w:hAnsi="Times New Roman"/>
                <w:sz w:val="18"/>
                <w:szCs w:val="18"/>
              </w:rPr>
            </w:pPr>
            <w:r w:rsidRPr="00702641">
              <w:rPr>
                <w:rFonts w:ascii="Times New Roman" w:hAnsi="Times New Roman"/>
                <w:i/>
                <w:sz w:val="18"/>
                <w:szCs w:val="18"/>
              </w:rPr>
              <w:t>Mērķa vērtības noteikšanas principi/metodoloģija</w:t>
            </w:r>
            <w:r w:rsidRPr="00702641">
              <w:rPr>
                <w:rFonts w:ascii="Times New Roman" w:hAnsi="Times New Roman"/>
                <w:sz w:val="18"/>
                <w:szCs w:val="18"/>
              </w:rPr>
              <w:t xml:space="preserve">: </w:t>
            </w:r>
          </w:p>
          <w:p w14:paraId="782FEA82" w14:textId="326E624D" w:rsidR="007726BD" w:rsidRDefault="007B1FDC" w:rsidP="007B1FDC">
            <w:pPr>
              <w:spacing w:after="0" w:line="240" w:lineRule="auto"/>
              <w:jc w:val="both"/>
              <w:rPr>
                <w:rFonts w:ascii="Times New Roman" w:hAnsi="Times New Roman"/>
                <w:sz w:val="18"/>
                <w:szCs w:val="18"/>
              </w:rPr>
            </w:pPr>
            <w:r w:rsidRPr="00702641">
              <w:rPr>
                <w:rFonts w:ascii="Times New Roman" w:hAnsi="Times New Roman"/>
                <w:sz w:val="18"/>
                <w:szCs w:val="18"/>
              </w:rPr>
              <w:t>Rādītājs veidojas ņemot vērā programmām piešķirto finansējumu</w:t>
            </w:r>
            <w:r w:rsidR="00833432">
              <w:rPr>
                <w:rFonts w:ascii="Times New Roman" w:hAnsi="Times New Roman"/>
                <w:sz w:val="18"/>
                <w:szCs w:val="18"/>
              </w:rPr>
              <w:t xml:space="preserve">, </w:t>
            </w:r>
            <w:r w:rsidRPr="00702641">
              <w:rPr>
                <w:rFonts w:ascii="Times New Roman" w:hAnsi="Times New Roman"/>
                <w:sz w:val="18"/>
                <w:szCs w:val="18"/>
              </w:rPr>
              <w:t>kā arī ņemot vēra līdzšinējo pieprasījumu</w:t>
            </w:r>
            <w:r w:rsidR="00843315">
              <w:rPr>
                <w:rFonts w:ascii="Times New Roman" w:hAnsi="Times New Roman"/>
                <w:sz w:val="18"/>
                <w:szCs w:val="18"/>
              </w:rPr>
              <w:t>:</w:t>
            </w:r>
          </w:p>
          <w:p w14:paraId="43FD0A29" w14:textId="77777777" w:rsidR="00843315" w:rsidRPr="00702641" w:rsidRDefault="00843315" w:rsidP="007B1FDC">
            <w:pPr>
              <w:spacing w:after="0" w:line="240" w:lineRule="auto"/>
              <w:jc w:val="both"/>
              <w:rPr>
                <w:rFonts w:ascii="Times New Roman" w:hAnsi="Times New Roman"/>
                <w:sz w:val="18"/>
                <w:szCs w:val="18"/>
              </w:rPr>
            </w:pPr>
          </w:p>
          <w:p w14:paraId="11643009" w14:textId="28AEC87B" w:rsidR="00843315" w:rsidRPr="00840DC6" w:rsidRDefault="007B1FDC" w:rsidP="007B1FDC">
            <w:pPr>
              <w:pStyle w:val="ListParagraph"/>
              <w:numPr>
                <w:ilvl w:val="0"/>
                <w:numId w:val="8"/>
              </w:numPr>
              <w:spacing w:after="0" w:line="240" w:lineRule="auto"/>
              <w:jc w:val="both"/>
              <w:rPr>
                <w:rFonts w:ascii="Times New Roman" w:eastAsia="Times New Roman" w:hAnsi="Times New Roman"/>
                <w:sz w:val="18"/>
                <w:szCs w:val="18"/>
              </w:rPr>
            </w:pPr>
            <w:r w:rsidRPr="00840DC6">
              <w:rPr>
                <w:rFonts w:ascii="Times New Roman" w:hAnsi="Times New Roman"/>
                <w:sz w:val="18"/>
                <w:szCs w:val="18"/>
              </w:rPr>
              <w:t xml:space="preserve">Finansējums programmai "Starptautiskās konkurētspējas veicināšana" </w:t>
            </w:r>
            <w:r w:rsidR="00181900">
              <w:rPr>
                <w:rFonts w:ascii="Times New Roman" w:hAnsi="Times New Roman"/>
                <w:b/>
                <w:bCs/>
                <w:color w:val="242424"/>
                <w:sz w:val="18"/>
                <w:szCs w:val="18"/>
                <w:shd w:val="clear" w:color="auto" w:fill="FFFFFF"/>
              </w:rPr>
              <w:t xml:space="preserve"> </w:t>
            </w:r>
            <w:r w:rsidR="00181900" w:rsidRPr="00181900">
              <w:rPr>
                <w:rFonts w:ascii="Times New Roman" w:hAnsi="Times New Roman"/>
                <w:color w:val="242424"/>
                <w:sz w:val="18"/>
                <w:szCs w:val="18"/>
                <w:shd w:val="clear" w:color="auto" w:fill="FFFFFF"/>
              </w:rPr>
              <w:t>5 980 300</w:t>
            </w:r>
            <w:r w:rsidR="00181900" w:rsidRPr="00181900">
              <w:rPr>
                <w:rFonts w:ascii="Times New Roman" w:hAnsi="Times New Roman"/>
                <w:b/>
                <w:bCs/>
                <w:color w:val="242424"/>
                <w:sz w:val="18"/>
                <w:szCs w:val="18"/>
                <w:shd w:val="clear" w:color="auto" w:fill="FFFFFF"/>
              </w:rPr>
              <w:t xml:space="preserve"> </w:t>
            </w:r>
            <w:r w:rsidRPr="00441912">
              <w:rPr>
                <w:rFonts w:ascii="Times New Roman" w:hAnsi="Times New Roman"/>
                <w:i/>
                <w:iCs/>
                <w:color w:val="242424"/>
                <w:sz w:val="18"/>
                <w:szCs w:val="18"/>
                <w:shd w:val="clear" w:color="auto" w:fill="FFFFFF"/>
              </w:rPr>
              <w:t>euro</w:t>
            </w:r>
            <w:r w:rsidRPr="00833432">
              <w:rPr>
                <w:rFonts w:ascii="Times New Roman" w:hAnsi="Times New Roman"/>
                <w:b/>
                <w:bCs/>
                <w:color w:val="242424"/>
                <w:sz w:val="18"/>
                <w:szCs w:val="18"/>
                <w:shd w:val="clear" w:color="auto" w:fill="FFFFFF"/>
              </w:rPr>
              <w:t xml:space="preserve">. </w:t>
            </w:r>
            <w:r w:rsidRPr="00532DCD">
              <w:rPr>
                <w:rFonts w:ascii="Times New Roman" w:hAnsi="Times New Roman"/>
                <w:color w:val="242424"/>
                <w:sz w:val="18"/>
                <w:szCs w:val="18"/>
                <w:shd w:val="clear" w:color="auto" w:fill="FFFFFF"/>
              </w:rPr>
              <w:t xml:space="preserve">Tiek prognozēts, ka tiks </w:t>
            </w:r>
            <w:r w:rsidRPr="00561C5C">
              <w:rPr>
                <w:rFonts w:ascii="Times New Roman" w:hAnsi="Times New Roman"/>
                <w:color w:val="242424"/>
                <w:sz w:val="18"/>
                <w:szCs w:val="18"/>
                <w:shd w:val="clear" w:color="auto" w:fill="FFFFFF"/>
              </w:rPr>
              <w:t>at</w:t>
            </w:r>
            <w:r w:rsidR="00F43002">
              <w:rPr>
                <w:rFonts w:ascii="Times New Roman" w:hAnsi="Times New Roman"/>
                <w:color w:val="242424"/>
                <w:sz w:val="18"/>
                <w:szCs w:val="18"/>
                <w:shd w:val="clear" w:color="auto" w:fill="FFFFFF"/>
              </w:rPr>
              <w:t>b</w:t>
            </w:r>
            <w:r w:rsidRPr="00561C5C">
              <w:rPr>
                <w:rFonts w:ascii="Times New Roman" w:hAnsi="Times New Roman"/>
                <w:color w:val="242424"/>
                <w:sz w:val="18"/>
                <w:szCs w:val="18"/>
                <w:shd w:val="clear" w:color="auto" w:fill="FFFFFF"/>
              </w:rPr>
              <w:t xml:space="preserve">alstīti </w:t>
            </w:r>
            <w:r w:rsidR="00181900">
              <w:rPr>
                <w:rFonts w:ascii="Times New Roman" w:hAnsi="Times New Roman"/>
                <w:color w:val="242424"/>
                <w:sz w:val="18"/>
                <w:szCs w:val="18"/>
                <w:shd w:val="clear" w:color="auto" w:fill="FFFFFF"/>
              </w:rPr>
              <w:t>2</w:t>
            </w:r>
            <w:r w:rsidR="00E422C6">
              <w:rPr>
                <w:rFonts w:ascii="Times New Roman" w:hAnsi="Times New Roman"/>
                <w:color w:val="242424"/>
                <w:sz w:val="18"/>
                <w:szCs w:val="18"/>
                <w:shd w:val="clear" w:color="auto" w:fill="FFFFFF"/>
              </w:rPr>
              <w:t>2</w:t>
            </w:r>
            <w:r w:rsidRPr="00561C5C">
              <w:rPr>
                <w:rFonts w:ascii="Times New Roman" w:hAnsi="Times New Roman"/>
                <w:color w:val="242424"/>
                <w:sz w:val="18"/>
                <w:szCs w:val="18"/>
                <w:shd w:val="clear" w:color="auto" w:fill="FFFFFF"/>
              </w:rPr>
              <w:t xml:space="preserve"> komersanti</w:t>
            </w:r>
            <w:r w:rsidR="00843315" w:rsidRPr="008A71C9">
              <w:rPr>
                <w:rFonts w:ascii="Times New Roman" w:hAnsi="Times New Roman"/>
                <w:color w:val="242424"/>
                <w:sz w:val="18"/>
                <w:szCs w:val="18"/>
                <w:shd w:val="clear" w:color="auto" w:fill="FFFFFF"/>
              </w:rPr>
              <w:t>;</w:t>
            </w:r>
          </w:p>
          <w:p w14:paraId="34A8D66A" w14:textId="5A0D2A7E" w:rsidR="0033207E" w:rsidRPr="00DC502E" w:rsidRDefault="007B1FDC" w:rsidP="00DC502E">
            <w:pPr>
              <w:pStyle w:val="ListParagraph"/>
              <w:numPr>
                <w:ilvl w:val="0"/>
                <w:numId w:val="8"/>
              </w:numPr>
              <w:rPr>
                <w:rFonts w:ascii="Times New Roman" w:hAnsi="Times New Roman"/>
                <w:b/>
                <w:bCs/>
                <w:color w:val="242424"/>
                <w:sz w:val="18"/>
                <w:szCs w:val="18"/>
                <w:shd w:val="clear" w:color="auto" w:fill="FFFFFF"/>
              </w:rPr>
            </w:pPr>
            <w:r w:rsidRPr="004C7202">
              <w:rPr>
                <w:rFonts w:ascii="Times New Roman" w:hAnsi="Times New Roman"/>
                <w:color w:val="242424"/>
                <w:sz w:val="18"/>
                <w:szCs w:val="18"/>
                <w:shd w:val="clear" w:color="auto" w:fill="FFFFFF"/>
              </w:rPr>
              <w:t xml:space="preserve">Finansējums programmai </w:t>
            </w:r>
            <w:r w:rsidRPr="00DC502E">
              <w:rPr>
                <w:rFonts w:ascii="Times New Roman" w:hAnsi="Times New Roman"/>
                <w:b/>
                <w:bCs/>
                <w:color w:val="242424"/>
                <w:sz w:val="18"/>
                <w:szCs w:val="18"/>
                <w:shd w:val="clear" w:color="auto" w:fill="FFFFFF"/>
              </w:rPr>
              <w:t>"Reģionālie biznesa inkubatori un radošo industriju inkubators"</w:t>
            </w:r>
            <w:r w:rsidRPr="004C7202">
              <w:rPr>
                <w:rFonts w:ascii="Times New Roman" w:hAnsi="Times New Roman"/>
                <w:color w:val="242424"/>
                <w:sz w:val="18"/>
                <w:szCs w:val="18"/>
                <w:shd w:val="clear" w:color="auto" w:fill="FFFFFF"/>
              </w:rPr>
              <w:t xml:space="preserve"> </w:t>
            </w:r>
            <w:r w:rsidR="00C62377">
              <w:rPr>
                <w:rFonts w:ascii="Times New Roman" w:hAnsi="Times New Roman"/>
                <w:b/>
                <w:bCs/>
                <w:color w:val="242424"/>
                <w:sz w:val="18"/>
                <w:szCs w:val="18"/>
                <w:shd w:val="clear" w:color="auto" w:fill="FFFFFF"/>
              </w:rPr>
              <w:t>1 000 000</w:t>
            </w:r>
            <w:r w:rsidRPr="004C7202">
              <w:rPr>
                <w:rFonts w:ascii="Times New Roman" w:hAnsi="Times New Roman"/>
                <w:b/>
                <w:bCs/>
                <w:color w:val="242424"/>
                <w:sz w:val="18"/>
                <w:szCs w:val="18"/>
                <w:shd w:val="clear" w:color="auto" w:fill="FFFFFF"/>
              </w:rPr>
              <w:t xml:space="preserve"> euro</w:t>
            </w:r>
            <w:r w:rsidR="004C7202" w:rsidRPr="004C7202">
              <w:rPr>
                <w:rFonts w:ascii="Times New Roman" w:hAnsi="Times New Roman"/>
                <w:b/>
                <w:bCs/>
                <w:color w:val="242424"/>
                <w:sz w:val="18"/>
                <w:szCs w:val="18"/>
                <w:shd w:val="clear" w:color="auto" w:fill="FFFFFF"/>
              </w:rPr>
              <w:t xml:space="preserve"> </w:t>
            </w:r>
            <w:r w:rsidR="004C7202" w:rsidRPr="004C7202">
              <w:rPr>
                <w:rFonts w:ascii="Times New Roman" w:hAnsi="Times New Roman"/>
                <w:color w:val="242424"/>
                <w:sz w:val="18"/>
                <w:szCs w:val="18"/>
                <w:shd w:val="clear" w:color="auto" w:fill="FFFFFF"/>
              </w:rPr>
              <w:t xml:space="preserve">(tehnoloģiju un dizaina izstrādei, grāmatvedības, juridiskajiem un mārketinga </w:t>
            </w:r>
            <w:r w:rsidR="004C7202" w:rsidRPr="004C7202">
              <w:rPr>
                <w:rFonts w:ascii="Times New Roman" w:hAnsi="Times New Roman"/>
                <w:color w:val="242424"/>
                <w:sz w:val="18"/>
                <w:szCs w:val="18"/>
                <w:shd w:val="clear" w:color="auto" w:fill="FFFFFF"/>
              </w:rPr>
              <w:lastRenderedPageBreak/>
              <w:t>pakalpojumiem, telpu īres izmaksām, kā arī iekārtu un izejmateriālu iegādei</w:t>
            </w:r>
            <w:r w:rsidR="004C7202">
              <w:rPr>
                <w:rFonts w:ascii="Times New Roman" w:hAnsi="Times New Roman"/>
                <w:color w:val="242424"/>
                <w:sz w:val="18"/>
                <w:szCs w:val="18"/>
                <w:shd w:val="clear" w:color="auto" w:fill="FFFFFF"/>
              </w:rPr>
              <w:t>).</w:t>
            </w:r>
            <w:r w:rsidRPr="00DC502E">
              <w:rPr>
                <w:rFonts w:ascii="Times New Roman" w:hAnsi="Times New Roman"/>
                <w:color w:val="242424"/>
                <w:sz w:val="18"/>
                <w:szCs w:val="18"/>
                <w:shd w:val="clear" w:color="auto" w:fill="FFFFFF"/>
              </w:rPr>
              <w:t>Tiek prognozēts, ka tiks atbalstīti 10 komersanti.</w:t>
            </w:r>
          </w:p>
          <w:p w14:paraId="0AA3DC82" w14:textId="4CFC21C9" w:rsidR="007B1FDC" w:rsidRDefault="007B1FDC" w:rsidP="007B1FDC">
            <w:pPr>
              <w:spacing w:after="0" w:line="240" w:lineRule="auto"/>
              <w:jc w:val="both"/>
              <w:rPr>
                <w:rFonts w:ascii="Times New Roman" w:eastAsia="Times New Roman" w:hAnsi="Times New Roman"/>
                <w:color w:val="000000" w:themeColor="text1"/>
                <w:sz w:val="18"/>
                <w:szCs w:val="18"/>
              </w:rPr>
            </w:pPr>
          </w:p>
          <w:p w14:paraId="12510F0D" w14:textId="74D4779E" w:rsidR="00766B7B" w:rsidRDefault="00766B7B" w:rsidP="00766B7B">
            <w:pPr>
              <w:spacing w:after="0" w:line="240" w:lineRule="auto"/>
              <w:jc w:val="both"/>
              <w:rPr>
                <w:rFonts w:ascii="Times New Roman" w:hAnsi="Times New Roman"/>
                <w:i/>
                <w:iCs/>
                <w:sz w:val="18"/>
                <w:szCs w:val="18"/>
              </w:rPr>
            </w:pPr>
            <w:r w:rsidRPr="00702641">
              <w:rPr>
                <w:rFonts w:ascii="Times New Roman" w:hAnsi="Times New Roman"/>
                <w:i/>
                <w:iCs/>
                <w:sz w:val="18"/>
                <w:szCs w:val="18"/>
              </w:rPr>
              <w:t xml:space="preserve">Iznākuma rādītājam sasniegšanai paredzētais finansējums: </w:t>
            </w:r>
            <w:r w:rsidR="00181900">
              <w:rPr>
                <w:rFonts w:ascii="Times New Roman" w:hAnsi="Times New Roman"/>
                <w:i/>
                <w:iCs/>
                <w:sz w:val="18"/>
                <w:szCs w:val="18"/>
              </w:rPr>
              <w:t>6 980 300</w:t>
            </w:r>
            <w:r w:rsidR="00181900" w:rsidRPr="00702641">
              <w:rPr>
                <w:rFonts w:ascii="Times New Roman" w:hAnsi="Times New Roman"/>
                <w:i/>
                <w:iCs/>
                <w:sz w:val="18"/>
                <w:szCs w:val="18"/>
              </w:rPr>
              <w:t xml:space="preserve">  </w:t>
            </w:r>
            <w:r w:rsidRPr="00702641">
              <w:rPr>
                <w:rFonts w:ascii="Times New Roman" w:hAnsi="Times New Roman"/>
                <w:i/>
                <w:iCs/>
                <w:sz w:val="18"/>
                <w:szCs w:val="18"/>
              </w:rPr>
              <w:t>EUR</w:t>
            </w:r>
            <w:r>
              <w:rPr>
                <w:rFonts w:ascii="Times New Roman" w:hAnsi="Times New Roman"/>
                <w:i/>
                <w:iCs/>
                <w:sz w:val="18"/>
                <w:szCs w:val="18"/>
              </w:rPr>
              <w:t>.</w:t>
            </w:r>
          </w:p>
          <w:p w14:paraId="7FA905D1" w14:textId="3F195440" w:rsidR="00766B7B" w:rsidRDefault="00766B7B" w:rsidP="007B1FDC">
            <w:pPr>
              <w:spacing w:after="0" w:line="240" w:lineRule="auto"/>
              <w:jc w:val="both"/>
              <w:rPr>
                <w:rFonts w:ascii="Times New Roman" w:eastAsia="Times New Roman" w:hAnsi="Times New Roman"/>
                <w:color w:val="000000" w:themeColor="text1"/>
                <w:sz w:val="18"/>
                <w:szCs w:val="18"/>
              </w:rPr>
            </w:pPr>
          </w:p>
          <w:p w14:paraId="49C1E787" w14:textId="76952603" w:rsidR="00346BC7" w:rsidRDefault="007B4590" w:rsidP="007B1FDC">
            <w:pPr>
              <w:spacing w:after="0" w:line="240" w:lineRule="auto"/>
              <w:jc w:val="both"/>
              <w:rPr>
                <w:rFonts w:ascii="Times New Roman" w:hAnsi="Times New Roman"/>
                <w:b/>
                <w:sz w:val="18"/>
                <w:szCs w:val="18"/>
                <w:u w:val="single"/>
              </w:rPr>
            </w:pPr>
            <w:r>
              <w:rPr>
                <w:rFonts w:ascii="Times New Roman" w:hAnsi="Times New Roman"/>
                <w:b/>
                <w:sz w:val="18"/>
                <w:szCs w:val="18"/>
                <w:u w:val="single"/>
              </w:rPr>
              <w:t xml:space="preserve">i.13.1.1.f </w:t>
            </w:r>
            <w:r w:rsidR="00346BC7" w:rsidRPr="005E04A4">
              <w:rPr>
                <w:rFonts w:ascii="Times New Roman" w:hAnsi="Times New Roman"/>
                <w:b/>
                <w:sz w:val="18"/>
                <w:szCs w:val="18"/>
                <w:u w:val="single"/>
              </w:rPr>
              <w:t>To komersantu skaits, kuri saņem nefinansiālu atbalstu</w:t>
            </w:r>
          </w:p>
          <w:p w14:paraId="52E03621" w14:textId="7E895F55" w:rsidR="007B4590" w:rsidRDefault="007B4590" w:rsidP="007B1FDC">
            <w:pPr>
              <w:spacing w:after="0" w:line="240" w:lineRule="auto"/>
              <w:jc w:val="both"/>
              <w:rPr>
                <w:rFonts w:ascii="Times New Roman" w:hAnsi="Times New Roman"/>
                <w:color w:val="000000" w:themeColor="text1"/>
                <w:sz w:val="18"/>
                <w:szCs w:val="18"/>
              </w:rPr>
            </w:pPr>
          </w:p>
          <w:p w14:paraId="5C1EAF52" w14:textId="77777777" w:rsidR="007B4590" w:rsidRDefault="007B4590" w:rsidP="007B4590">
            <w:pPr>
              <w:spacing w:after="0" w:line="240" w:lineRule="auto"/>
              <w:jc w:val="both"/>
              <w:rPr>
                <w:rFonts w:ascii="Times New Roman" w:eastAsia="Times New Roman" w:hAnsi="Times New Roman"/>
                <w:color w:val="000000" w:themeColor="text1"/>
                <w:sz w:val="18"/>
                <w:szCs w:val="18"/>
              </w:rPr>
            </w:pPr>
            <w:r w:rsidRPr="00475CF7">
              <w:rPr>
                <w:rFonts w:ascii="Times New Roman" w:hAnsi="Times New Roman"/>
                <w:bCs/>
                <w:sz w:val="18"/>
                <w:szCs w:val="18"/>
              </w:rPr>
              <w:t>Rādītāji saistīti ar</w:t>
            </w:r>
            <w:r w:rsidRPr="00671084">
              <w:rPr>
                <w:rFonts w:ascii="Times New Roman" w:eastAsia="Times New Roman" w:hAnsi="Times New Roman"/>
                <w:color w:val="000000" w:themeColor="text1"/>
                <w:sz w:val="18"/>
                <w:szCs w:val="18"/>
              </w:rPr>
              <w:t xml:space="preserve"> 3.1.1.SAM</w:t>
            </w:r>
            <w:r>
              <w:rPr>
                <w:rFonts w:ascii="Times New Roman" w:eastAsia="Times New Roman" w:hAnsi="Times New Roman"/>
                <w:color w:val="000000" w:themeColor="text1"/>
                <w:sz w:val="18"/>
                <w:szCs w:val="18"/>
              </w:rPr>
              <w:t xml:space="preserve"> un </w:t>
            </w:r>
            <w:r w:rsidRPr="00671084">
              <w:rPr>
                <w:rFonts w:ascii="Times New Roman" w:eastAsia="Times New Roman" w:hAnsi="Times New Roman"/>
                <w:color w:val="000000" w:themeColor="text1"/>
                <w:sz w:val="18"/>
                <w:szCs w:val="18"/>
              </w:rPr>
              <w:t>3.2.1. SAM, tā kā finansējums tiks ieguldīts šajā SAM</w:t>
            </w:r>
            <w:r>
              <w:rPr>
                <w:rFonts w:ascii="Times New Roman" w:eastAsia="Times New Roman" w:hAnsi="Times New Roman"/>
                <w:color w:val="000000" w:themeColor="text1"/>
                <w:sz w:val="18"/>
                <w:szCs w:val="18"/>
              </w:rPr>
              <w:t>.</w:t>
            </w:r>
          </w:p>
          <w:p w14:paraId="2038BE6C" w14:textId="77777777" w:rsidR="007B4590" w:rsidRDefault="007B4590" w:rsidP="007B4590">
            <w:pPr>
              <w:spacing w:after="0" w:line="240" w:lineRule="auto"/>
              <w:jc w:val="both"/>
              <w:rPr>
                <w:rFonts w:ascii="Times New Roman" w:eastAsia="Times New Roman" w:hAnsi="Times New Roman"/>
                <w:color w:val="000000" w:themeColor="text1"/>
                <w:sz w:val="18"/>
                <w:szCs w:val="18"/>
              </w:rPr>
            </w:pPr>
          </w:p>
          <w:p w14:paraId="3BEE02B6" w14:textId="77777777" w:rsidR="007B4590" w:rsidRPr="00702641" w:rsidRDefault="007B4590" w:rsidP="007B4590">
            <w:pPr>
              <w:spacing w:after="0" w:line="240" w:lineRule="auto"/>
              <w:jc w:val="both"/>
              <w:rPr>
                <w:rFonts w:ascii="Times New Roman" w:hAnsi="Times New Roman"/>
                <w:i/>
                <w:iCs/>
                <w:sz w:val="18"/>
                <w:szCs w:val="18"/>
              </w:rPr>
            </w:pPr>
            <w:r w:rsidRPr="00702641">
              <w:rPr>
                <w:rFonts w:ascii="Times New Roman" w:hAnsi="Times New Roman"/>
                <w:i/>
                <w:iCs/>
                <w:sz w:val="18"/>
                <w:szCs w:val="18"/>
              </w:rPr>
              <w:t>Definīcija</w:t>
            </w:r>
            <w:r w:rsidRPr="002640C5">
              <w:rPr>
                <w:rFonts w:ascii="Times New Roman" w:hAnsi="Times New Roman"/>
                <w:i/>
                <w:iCs/>
                <w:sz w:val="18"/>
                <w:szCs w:val="18"/>
                <w:vertAlign w:val="superscript"/>
              </w:rPr>
              <w:fldChar w:fldCharType="begin"/>
            </w:r>
            <w:r w:rsidRPr="00702641">
              <w:rPr>
                <w:rFonts w:ascii="Times New Roman" w:hAnsi="Times New Roman"/>
                <w:i/>
                <w:iCs/>
                <w:sz w:val="18"/>
                <w:szCs w:val="18"/>
                <w:vertAlign w:val="superscript"/>
              </w:rPr>
              <w:instrText xml:space="preserve"> NOTEREF _Ref526335223 \h  \* MERGEFORMAT </w:instrText>
            </w:r>
            <w:r w:rsidRPr="002640C5">
              <w:rPr>
                <w:rFonts w:ascii="Times New Roman" w:hAnsi="Times New Roman"/>
                <w:i/>
                <w:iCs/>
                <w:sz w:val="18"/>
                <w:szCs w:val="18"/>
                <w:vertAlign w:val="superscript"/>
              </w:rPr>
            </w:r>
            <w:r w:rsidRPr="002640C5">
              <w:rPr>
                <w:rFonts w:ascii="Times New Roman" w:hAnsi="Times New Roman"/>
                <w:i/>
                <w:iCs/>
                <w:sz w:val="18"/>
                <w:szCs w:val="18"/>
                <w:vertAlign w:val="superscript"/>
              </w:rPr>
              <w:fldChar w:fldCharType="separate"/>
            </w:r>
            <w:r w:rsidRPr="00702641">
              <w:rPr>
                <w:rFonts w:ascii="Times New Roman" w:hAnsi="Times New Roman"/>
                <w:i/>
                <w:iCs/>
                <w:sz w:val="18"/>
                <w:szCs w:val="18"/>
                <w:vertAlign w:val="superscript"/>
              </w:rPr>
              <w:t>2</w:t>
            </w:r>
            <w:r w:rsidRPr="002640C5">
              <w:rPr>
                <w:rFonts w:ascii="Times New Roman" w:hAnsi="Times New Roman"/>
                <w:i/>
                <w:iCs/>
                <w:sz w:val="18"/>
                <w:szCs w:val="18"/>
                <w:vertAlign w:val="superscript"/>
              </w:rPr>
              <w:fldChar w:fldCharType="end"/>
            </w:r>
            <w:r w:rsidRPr="00702641">
              <w:rPr>
                <w:rFonts w:ascii="Times New Roman" w:hAnsi="Times New Roman"/>
                <w:i/>
                <w:iCs/>
                <w:sz w:val="18"/>
                <w:szCs w:val="18"/>
              </w:rPr>
              <w:t>:</w:t>
            </w:r>
            <w:r w:rsidRPr="00702641">
              <w:rPr>
                <w:rFonts w:ascii="Times New Roman" w:hAnsi="Times New Roman"/>
                <w:sz w:val="18"/>
                <w:szCs w:val="18"/>
              </w:rPr>
              <w:t xml:space="preserve"> Kopējais rādītājs, norādot datus par </w:t>
            </w:r>
            <w:r w:rsidRPr="006D25C5">
              <w:rPr>
                <w:rFonts w:ascii="Times New Roman" w:hAnsi="Times New Roman"/>
                <w:sz w:val="18"/>
                <w:szCs w:val="18"/>
              </w:rPr>
              <w:t>3.2.1.2.</w:t>
            </w:r>
            <w:r>
              <w:rPr>
                <w:rFonts w:ascii="Times New Roman" w:hAnsi="Times New Roman"/>
                <w:sz w:val="18"/>
                <w:szCs w:val="18"/>
              </w:rPr>
              <w:t xml:space="preserve"> </w:t>
            </w:r>
            <w:r w:rsidRPr="006D25C5">
              <w:rPr>
                <w:rFonts w:ascii="Times New Roman" w:hAnsi="Times New Roman"/>
                <w:sz w:val="18"/>
                <w:szCs w:val="18"/>
              </w:rPr>
              <w:t>un 3.1.1.6</w:t>
            </w:r>
            <w:r>
              <w:rPr>
                <w:rFonts w:ascii="Times New Roman" w:hAnsi="Times New Roman"/>
                <w:sz w:val="18"/>
                <w:szCs w:val="18"/>
              </w:rPr>
              <w:t xml:space="preserve"> pasākumiem .</w:t>
            </w:r>
          </w:p>
          <w:p w14:paraId="34EAD2EA" w14:textId="77777777" w:rsidR="007B4590" w:rsidRPr="00671084" w:rsidRDefault="007B4590" w:rsidP="007B4590">
            <w:pPr>
              <w:spacing w:after="0" w:line="240" w:lineRule="auto"/>
              <w:jc w:val="both"/>
              <w:rPr>
                <w:rFonts w:ascii="Times New Roman" w:hAnsi="Times New Roman"/>
                <w:bCs/>
                <w:sz w:val="16"/>
                <w:szCs w:val="16"/>
              </w:rPr>
            </w:pPr>
          </w:p>
          <w:p w14:paraId="2FAA29D5" w14:textId="77777777" w:rsidR="007B4590" w:rsidRPr="00702641" w:rsidRDefault="007B4590" w:rsidP="007B4590">
            <w:pPr>
              <w:spacing w:after="0" w:line="240" w:lineRule="auto"/>
              <w:jc w:val="both"/>
              <w:rPr>
                <w:rFonts w:ascii="Times New Roman" w:hAnsi="Times New Roman"/>
                <w:sz w:val="18"/>
                <w:szCs w:val="18"/>
              </w:rPr>
            </w:pPr>
            <w:r w:rsidRPr="00702641">
              <w:rPr>
                <w:rFonts w:ascii="Times New Roman" w:hAnsi="Times New Roman"/>
                <w:i/>
                <w:sz w:val="18"/>
                <w:szCs w:val="18"/>
              </w:rPr>
              <w:t>Datu avots</w:t>
            </w:r>
            <w:r w:rsidRPr="00702641">
              <w:rPr>
                <w:rFonts w:ascii="Times New Roman" w:hAnsi="Times New Roman"/>
                <w:sz w:val="18"/>
                <w:szCs w:val="18"/>
              </w:rPr>
              <w:t>: Projektu dati</w:t>
            </w:r>
          </w:p>
          <w:p w14:paraId="2E13AD84" w14:textId="77777777" w:rsidR="007B4590" w:rsidRDefault="007B4590" w:rsidP="007B4590">
            <w:pPr>
              <w:spacing w:after="0" w:line="240" w:lineRule="auto"/>
              <w:jc w:val="both"/>
              <w:rPr>
                <w:rFonts w:ascii="Times New Roman" w:hAnsi="Times New Roman"/>
                <w:b/>
                <w:sz w:val="16"/>
                <w:szCs w:val="16"/>
                <w:u w:val="single"/>
              </w:rPr>
            </w:pPr>
          </w:p>
          <w:p w14:paraId="43F47253" w14:textId="77777777" w:rsidR="007B4590" w:rsidRDefault="007B4590" w:rsidP="007B4590">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Apkopošanas biežums un ieguves metodoloģija:</w:t>
            </w:r>
            <w:r w:rsidRPr="00DD2CE4">
              <w:rPr>
                <w:rFonts w:ascii="Times New Roman" w:hAnsi="Times New Roman"/>
                <w:color w:val="000000" w:themeColor="text1"/>
                <w:sz w:val="18"/>
                <w:szCs w:val="18"/>
              </w:rPr>
              <w:t xml:space="preserve"> reizi gadā, apkopojot informāciju par atbalstītajiem projektiem no projektu atskaitēm</w:t>
            </w:r>
          </w:p>
          <w:p w14:paraId="13D2BE09" w14:textId="77777777" w:rsidR="007B4590" w:rsidRDefault="007B4590" w:rsidP="007B4590">
            <w:pPr>
              <w:spacing w:after="0" w:line="240" w:lineRule="auto"/>
              <w:jc w:val="both"/>
              <w:rPr>
                <w:rFonts w:ascii="Times New Roman" w:hAnsi="Times New Roman"/>
                <w:b/>
                <w:color w:val="000000" w:themeColor="text1"/>
                <w:sz w:val="16"/>
                <w:szCs w:val="16"/>
                <w:u w:val="single"/>
              </w:rPr>
            </w:pPr>
          </w:p>
          <w:p w14:paraId="16D1179E" w14:textId="4C2BCCDC" w:rsidR="007B4590" w:rsidRDefault="007B4590" w:rsidP="007B4590">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Darbība, kas liek uzskatīt mērķa vērtību par izpildītu:</w:t>
            </w:r>
            <w:r w:rsidRPr="00DD2CE4">
              <w:rPr>
                <w:rFonts w:ascii="Times New Roman" w:hAnsi="Times New Roman"/>
                <w:color w:val="000000" w:themeColor="text1"/>
                <w:sz w:val="18"/>
                <w:szCs w:val="18"/>
              </w:rPr>
              <w:t xml:space="preserve"> </w:t>
            </w:r>
          </w:p>
          <w:p w14:paraId="475EEB37" w14:textId="1622DF3E" w:rsidR="009764A5" w:rsidRDefault="002D590E" w:rsidP="002D590E">
            <w:pPr>
              <w:pStyle w:val="ListParagraph"/>
              <w:numPr>
                <w:ilvl w:val="3"/>
                <w:numId w:val="12"/>
              </w:numPr>
              <w:spacing w:after="0" w:line="240"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pasākumam: </w:t>
            </w:r>
            <w:r w:rsidR="009764A5" w:rsidRPr="00827257">
              <w:rPr>
                <w:rFonts w:ascii="Times New Roman" w:hAnsi="Times New Roman"/>
                <w:color w:val="000000" w:themeColor="text1"/>
                <w:sz w:val="18"/>
                <w:szCs w:val="18"/>
              </w:rPr>
              <w:t>Rādītāju uzskaita, norādot tos komersantus gala labuma guvējus, kuri ir noslēguši atbalsta sniegšanas līgumu ar finansējuma saņēmēju (LIAA) (pirmsinkubācijas atbalsta līgumi un inkubācijas atbalsta līgumi) un kuri ir saņēmuši atbalstu. Nefinanšu atbalsta saņēmēju uzskaite tiek veikta ar atbalsta līguma noslēgšanas brīdi, kad komersantam ir pieejams nefinanšu atbalsts - koprades telpas, inkubatora sniegtie pakalpojumi (apmācības, semināri u.c. pasākumi), nefinanšu atbalsta saņemšanu apstiprina, piemēram, attiecīgs ieraksts koprades telpas izmantošanas uzskaites lapā, semināra dalībnieku saraksts utt.</w:t>
            </w:r>
          </w:p>
          <w:p w14:paraId="52DAFA7B" w14:textId="754E0331" w:rsidR="00D524FC" w:rsidRPr="00441912" w:rsidRDefault="00D524FC" w:rsidP="00D524FC">
            <w:pPr>
              <w:spacing w:after="0" w:line="240"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3.2.1.2.pasākumam: </w:t>
            </w:r>
            <w:r w:rsidR="00256647" w:rsidRPr="00256647">
              <w:rPr>
                <w:rFonts w:ascii="Times New Roman" w:hAnsi="Times New Roman"/>
                <w:color w:val="000000" w:themeColor="text1"/>
                <w:sz w:val="18"/>
                <w:szCs w:val="18"/>
              </w:rPr>
              <w:t>pasākumā rādītāju uzskaita, norādot unikālos gala labuma guvējus, kuri ir saņēmuši atbalstu (lēmums par atbalsta de minimis piešķiršanu).</w:t>
            </w:r>
          </w:p>
          <w:p w14:paraId="6E83D2A6" w14:textId="77777777" w:rsidR="007B4590" w:rsidRDefault="007B4590" w:rsidP="007B4590">
            <w:pPr>
              <w:spacing w:after="0" w:line="240" w:lineRule="auto"/>
              <w:jc w:val="both"/>
              <w:rPr>
                <w:rFonts w:ascii="Times New Roman" w:eastAsiaTheme="minorHAnsi" w:hAnsi="Times New Roman"/>
                <w:b/>
                <w:sz w:val="16"/>
                <w:szCs w:val="16"/>
                <w:u w:val="single"/>
              </w:rPr>
            </w:pPr>
          </w:p>
          <w:p w14:paraId="52352ABB" w14:textId="5F843AF1" w:rsidR="007B4590" w:rsidRPr="007B1FDC" w:rsidRDefault="007B4590" w:rsidP="007B4590">
            <w:pPr>
              <w:spacing w:after="0" w:line="240" w:lineRule="auto"/>
              <w:jc w:val="both"/>
              <w:rPr>
                <w:rFonts w:ascii="Times New Roman" w:eastAsiaTheme="minorHAnsi" w:hAnsi="Times New Roman"/>
                <w:bCs/>
                <w:sz w:val="18"/>
                <w:szCs w:val="18"/>
              </w:rPr>
            </w:pPr>
            <w:r w:rsidRPr="007B1FDC">
              <w:rPr>
                <w:rFonts w:ascii="Times New Roman" w:eastAsiaTheme="minorHAnsi" w:hAnsi="Times New Roman"/>
                <w:bCs/>
                <w:i/>
                <w:iCs/>
                <w:sz w:val="18"/>
                <w:szCs w:val="18"/>
              </w:rPr>
              <w:t xml:space="preserve">Mērķis </w:t>
            </w:r>
            <w:r w:rsidRPr="0089616B">
              <w:rPr>
                <w:rFonts w:ascii="Times New Roman" w:eastAsiaTheme="minorHAnsi" w:hAnsi="Times New Roman"/>
                <w:bCs/>
                <w:i/>
                <w:iCs/>
                <w:sz w:val="18"/>
                <w:szCs w:val="18"/>
              </w:rPr>
              <w:t>2023</w:t>
            </w:r>
            <w:r w:rsidRPr="0089616B">
              <w:rPr>
                <w:rFonts w:ascii="Times New Roman" w:eastAsiaTheme="minorHAnsi" w:hAnsi="Times New Roman"/>
                <w:bCs/>
                <w:sz w:val="18"/>
                <w:szCs w:val="18"/>
              </w:rPr>
              <w:t>: 3</w:t>
            </w:r>
            <w:r w:rsidR="00C62377" w:rsidRPr="0089616B">
              <w:rPr>
                <w:rFonts w:ascii="Times New Roman" w:eastAsiaTheme="minorHAnsi" w:hAnsi="Times New Roman"/>
                <w:bCs/>
                <w:sz w:val="18"/>
                <w:szCs w:val="18"/>
              </w:rPr>
              <w:t xml:space="preserve">0 </w:t>
            </w:r>
            <w:r w:rsidRPr="0089616B">
              <w:rPr>
                <w:rFonts w:ascii="Times New Roman" w:eastAsiaTheme="minorHAnsi" w:hAnsi="Times New Roman"/>
                <w:bCs/>
                <w:sz w:val="18"/>
                <w:szCs w:val="18"/>
              </w:rPr>
              <w:t>komersanti</w:t>
            </w:r>
          </w:p>
          <w:p w14:paraId="5CB52EA9" w14:textId="77777777" w:rsidR="007B4590" w:rsidRDefault="007B4590" w:rsidP="007B4590">
            <w:pPr>
              <w:spacing w:after="0" w:line="240" w:lineRule="auto"/>
              <w:jc w:val="both"/>
              <w:rPr>
                <w:rFonts w:ascii="Times New Roman" w:eastAsiaTheme="minorHAnsi" w:hAnsi="Times New Roman"/>
                <w:b/>
                <w:sz w:val="16"/>
                <w:szCs w:val="16"/>
                <w:u w:val="single"/>
              </w:rPr>
            </w:pPr>
          </w:p>
          <w:p w14:paraId="2DCBE45C" w14:textId="77777777" w:rsidR="007B4590" w:rsidRPr="00702641" w:rsidRDefault="007B4590" w:rsidP="007B4590">
            <w:pPr>
              <w:spacing w:after="0" w:line="240" w:lineRule="auto"/>
              <w:jc w:val="both"/>
              <w:rPr>
                <w:rFonts w:ascii="Times New Roman" w:hAnsi="Times New Roman"/>
                <w:sz w:val="18"/>
                <w:szCs w:val="18"/>
              </w:rPr>
            </w:pPr>
            <w:r w:rsidRPr="00702641">
              <w:rPr>
                <w:rFonts w:ascii="Times New Roman" w:hAnsi="Times New Roman"/>
                <w:i/>
                <w:sz w:val="18"/>
                <w:szCs w:val="18"/>
              </w:rPr>
              <w:t>Mērķa vērtības noteikšanas principi/metodoloģija</w:t>
            </w:r>
            <w:r w:rsidRPr="00702641">
              <w:rPr>
                <w:rFonts w:ascii="Times New Roman" w:hAnsi="Times New Roman"/>
                <w:sz w:val="18"/>
                <w:szCs w:val="18"/>
              </w:rPr>
              <w:t xml:space="preserve">: </w:t>
            </w:r>
          </w:p>
          <w:p w14:paraId="02046488" w14:textId="35030986" w:rsidR="007B4590" w:rsidRDefault="007B4590" w:rsidP="007B4590">
            <w:pPr>
              <w:spacing w:after="0" w:line="240" w:lineRule="auto"/>
              <w:jc w:val="both"/>
              <w:rPr>
                <w:rFonts w:ascii="Times New Roman" w:hAnsi="Times New Roman"/>
                <w:sz w:val="18"/>
                <w:szCs w:val="18"/>
              </w:rPr>
            </w:pPr>
            <w:r w:rsidRPr="00702641">
              <w:rPr>
                <w:rFonts w:ascii="Times New Roman" w:hAnsi="Times New Roman"/>
                <w:sz w:val="18"/>
                <w:szCs w:val="18"/>
              </w:rPr>
              <w:lastRenderedPageBreak/>
              <w:t>Rādītājs veidojas ņemot vērā programmām piešķirto finansējumu</w:t>
            </w:r>
            <w:r w:rsidR="002D0EA4">
              <w:rPr>
                <w:rFonts w:ascii="Times New Roman" w:hAnsi="Times New Roman"/>
                <w:sz w:val="18"/>
                <w:szCs w:val="18"/>
              </w:rPr>
              <w:t xml:space="preserve">, </w:t>
            </w:r>
            <w:r w:rsidRPr="00702641">
              <w:rPr>
                <w:rFonts w:ascii="Times New Roman" w:hAnsi="Times New Roman"/>
                <w:sz w:val="18"/>
                <w:szCs w:val="18"/>
              </w:rPr>
              <w:t>kā arī</w:t>
            </w:r>
            <w:r w:rsidR="002D0EA4">
              <w:rPr>
                <w:rFonts w:ascii="Times New Roman" w:hAnsi="Times New Roman"/>
                <w:sz w:val="18"/>
                <w:szCs w:val="18"/>
              </w:rPr>
              <w:t xml:space="preserve"> </w:t>
            </w:r>
            <w:r w:rsidRPr="00702641">
              <w:rPr>
                <w:rFonts w:ascii="Times New Roman" w:hAnsi="Times New Roman"/>
                <w:sz w:val="18"/>
                <w:szCs w:val="18"/>
              </w:rPr>
              <w:t>ņemot vēra līdzšinējo pieprasījumu</w:t>
            </w:r>
            <w:r>
              <w:rPr>
                <w:rFonts w:ascii="Times New Roman" w:hAnsi="Times New Roman"/>
                <w:sz w:val="18"/>
                <w:szCs w:val="18"/>
              </w:rPr>
              <w:t>:</w:t>
            </w:r>
          </w:p>
          <w:p w14:paraId="7D917757" w14:textId="77777777" w:rsidR="007B4590" w:rsidRPr="00702641" w:rsidRDefault="007B4590" w:rsidP="007B4590">
            <w:pPr>
              <w:spacing w:after="0" w:line="240" w:lineRule="auto"/>
              <w:jc w:val="both"/>
              <w:rPr>
                <w:rFonts w:ascii="Times New Roman" w:hAnsi="Times New Roman"/>
                <w:sz w:val="18"/>
                <w:szCs w:val="18"/>
              </w:rPr>
            </w:pPr>
          </w:p>
          <w:p w14:paraId="509C3ED1" w14:textId="1D925E0A" w:rsidR="007B4590" w:rsidRPr="00DF61BB" w:rsidRDefault="007B4590" w:rsidP="007B4590">
            <w:pPr>
              <w:pStyle w:val="ListParagraph"/>
              <w:numPr>
                <w:ilvl w:val="0"/>
                <w:numId w:val="8"/>
              </w:numPr>
              <w:spacing w:after="0" w:line="240" w:lineRule="auto"/>
              <w:jc w:val="both"/>
              <w:rPr>
                <w:rFonts w:ascii="Times New Roman" w:eastAsia="Times New Roman" w:hAnsi="Times New Roman"/>
                <w:sz w:val="18"/>
                <w:szCs w:val="18"/>
              </w:rPr>
            </w:pPr>
            <w:r w:rsidRPr="00F95A11">
              <w:rPr>
                <w:rFonts w:ascii="Times New Roman" w:hAnsi="Times New Roman"/>
                <w:sz w:val="18"/>
                <w:szCs w:val="18"/>
              </w:rPr>
              <w:t xml:space="preserve">Finansējums </w:t>
            </w:r>
            <w:r>
              <w:rPr>
                <w:rFonts w:ascii="Times New Roman" w:hAnsi="Times New Roman"/>
                <w:sz w:val="18"/>
                <w:szCs w:val="18"/>
              </w:rPr>
              <w:t>programmai</w:t>
            </w:r>
            <w:r w:rsidRPr="00F95A11">
              <w:rPr>
                <w:rFonts w:ascii="Times New Roman" w:hAnsi="Times New Roman"/>
                <w:sz w:val="18"/>
                <w:szCs w:val="18"/>
              </w:rPr>
              <w:t xml:space="preserve"> "Starptautiskās konkurētspējas veicināšana" </w:t>
            </w:r>
            <w:r w:rsidR="00181900">
              <w:rPr>
                <w:rFonts w:ascii="Times New Roman" w:hAnsi="Times New Roman"/>
                <w:b/>
                <w:bCs/>
                <w:color w:val="242424"/>
                <w:sz w:val="18"/>
                <w:szCs w:val="18"/>
                <w:shd w:val="clear" w:color="auto" w:fill="FFFFFF"/>
              </w:rPr>
              <w:t xml:space="preserve"> </w:t>
            </w:r>
            <w:r w:rsidR="00181900" w:rsidRPr="00181900">
              <w:rPr>
                <w:rFonts w:ascii="Times New Roman" w:hAnsi="Times New Roman"/>
                <w:color w:val="242424"/>
                <w:sz w:val="18"/>
                <w:szCs w:val="18"/>
                <w:shd w:val="clear" w:color="auto" w:fill="FFFFFF"/>
              </w:rPr>
              <w:t>5 980 300</w:t>
            </w:r>
            <w:r w:rsidR="00181900">
              <w:rPr>
                <w:rFonts w:ascii="Times New Roman" w:hAnsi="Times New Roman"/>
                <w:b/>
                <w:bCs/>
                <w:color w:val="242424"/>
                <w:sz w:val="18"/>
                <w:szCs w:val="18"/>
                <w:shd w:val="clear" w:color="auto" w:fill="FFFFFF"/>
              </w:rPr>
              <w:t xml:space="preserve"> </w:t>
            </w:r>
            <w:r w:rsidRPr="007C3F52">
              <w:rPr>
                <w:rFonts w:ascii="Times New Roman" w:hAnsi="Times New Roman"/>
                <w:i/>
                <w:iCs/>
                <w:color w:val="242424"/>
                <w:sz w:val="18"/>
                <w:szCs w:val="18"/>
                <w:shd w:val="clear" w:color="auto" w:fill="FFFFFF"/>
              </w:rPr>
              <w:t>euro</w:t>
            </w:r>
            <w:r>
              <w:rPr>
                <w:rFonts w:ascii="Times New Roman" w:hAnsi="Times New Roman"/>
                <w:b/>
                <w:bCs/>
                <w:color w:val="242424"/>
                <w:sz w:val="18"/>
                <w:szCs w:val="18"/>
                <w:shd w:val="clear" w:color="auto" w:fill="FFFFFF"/>
              </w:rPr>
              <w:t xml:space="preserve">. </w:t>
            </w:r>
            <w:r>
              <w:rPr>
                <w:rFonts w:ascii="Times New Roman" w:hAnsi="Times New Roman"/>
                <w:color w:val="242424"/>
                <w:sz w:val="18"/>
                <w:szCs w:val="18"/>
                <w:shd w:val="clear" w:color="auto" w:fill="FFFFFF"/>
              </w:rPr>
              <w:t>Tiek prognozēts, ka tiks atvalstīti 20 komersanti;</w:t>
            </w:r>
          </w:p>
          <w:p w14:paraId="6E35C771" w14:textId="63169765" w:rsidR="007B4590" w:rsidRPr="00441912" w:rsidRDefault="007B4590" w:rsidP="007B4590">
            <w:pPr>
              <w:pStyle w:val="ListParagraph"/>
              <w:numPr>
                <w:ilvl w:val="0"/>
                <w:numId w:val="8"/>
              </w:numPr>
              <w:spacing w:after="0" w:line="240" w:lineRule="auto"/>
              <w:jc w:val="both"/>
              <w:rPr>
                <w:rFonts w:ascii="Times New Roman" w:eastAsia="Times New Roman" w:hAnsi="Times New Roman"/>
                <w:sz w:val="18"/>
                <w:szCs w:val="18"/>
              </w:rPr>
            </w:pPr>
            <w:r w:rsidRPr="00DF61BB">
              <w:rPr>
                <w:rFonts w:ascii="Times New Roman" w:hAnsi="Times New Roman"/>
                <w:color w:val="242424"/>
                <w:sz w:val="18"/>
                <w:szCs w:val="18"/>
                <w:shd w:val="clear" w:color="auto" w:fill="FFFFFF"/>
              </w:rPr>
              <w:t xml:space="preserve">Finansējums programmai "Reģionālie biznesa inkubatori un radošo industriju inkubators" </w:t>
            </w:r>
            <w:r w:rsidR="00E314FB" w:rsidRPr="008546B5">
              <w:rPr>
                <w:rFonts w:ascii="Times New Roman" w:hAnsi="Times New Roman"/>
                <w:color w:val="242424"/>
                <w:sz w:val="18"/>
                <w:szCs w:val="18"/>
                <w:shd w:val="clear" w:color="auto" w:fill="FFFFFF"/>
              </w:rPr>
              <w:t>1 000 000</w:t>
            </w:r>
            <w:r w:rsidRPr="008546B5">
              <w:rPr>
                <w:rFonts w:ascii="Times New Roman" w:hAnsi="Times New Roman"/>
                <w:color w:val="242424"/>
                <w:sz w:val="18"/>
                <w:szCs w:val="18"/>
                <w:shd w:val="clear" w:color="auto" w:fill="FFFFFF"/>
              </w:rPr>
              <w:t xml:space="preserve">. Tiek prognozēts, ka tiks atbalstīti </w:t>
            </w:r>
            <w:r w:rsidR="008546B5" w:rsidRPr="008546B5">
              <w:rPr>
                <w:rFonts w:ascii="Times New Roman" w:hAnsi="Times New Roman"/>
                <w:color w:val="242424"/>
                <w:sz w:val="18"/>
                <w:szCs w:val="18"/>
                <w:shd w:val="clear" w:color="auto" w:fill="FFFFFF"/>
              </w:rPr>
              <w:t>10</w:t>
            </w:r>
            <w:r w:rsidRPr="00DF61BB">
              <w:rPr>
                <w:rFonts w:ascii="Times New Roman" w:hAnsi="Times New Roman"/>
                <w:color w:val="242424"/>
                <w:sz w:val="18"/>
                <w:szCs w:val="18"/>
                <w:shd w:val="clear" w:color="auto" w:fill="FFFFFF"/>
              </w:rPr>
              <w:t xml:space="preserve"> </w:t>
            </w:r>
            <w:r w:rsidR="0046389B" w:rsidRPr="00441912">
              <w:rPr>
                <w:rFonts w:ascii="Times New Roman" w:eastAsia="Times New Roman" w:hAnsi="Times New Roman"/>
                <w:color w:val="000000" w:themeColor="text1"/>
                <w:sz w:val="18"/>
                <w:szCs w:val="18"/>
              </w:rPr>
              <w:t>gala labuma guvēj</w:t>
            </w:r>
            <w:r w:rsidR="00441912">
              <w:rPr>
                <w:rFonts w:ascii="Times New Roman" w:eastAsia="Times New Roman" w:hAnsi="Times New Roman"/>
                <w:color w:val="000000" w:themeColor="text1"/>
                <w:sz w:val="18"/>
                <w:szCs w:val="18"/>
              </w:rPr>
              <w:t>i</w:t>
            </w:r>
            <w:r w:rsidR="0046389B" w:rsidRPr="00441912">
              <w:rPr>
                <w:rFonts w:ascii="Times New Roman" w:eastAsia="Times New Roman" w:hAnsi="Times New Roman"/>
                <w:color w:val="000000" w:themeColor="text1"/>
                <w:sz w:val="18"/>
                <w:szCs w:val="18"/>
              </w:rPr>
              <w:t xml:space="preserve"> –gan fizisk</w:t>
            </w:r>
            <w:r w:rsidR="00441912">
              <w:rPr>
                <w:rFonts w:ascii="Times New Roman" w:eastAsia="Times New Roman" w:hAnsi="Times New Roman"/>
                <w:color w:val="000000" w:themeColor="text1"/>
                <w:sz w:val="18"/>
                <w:szCs w:val="18"/>
              </w:rPr>
              <w:t>as</w:t>
            </w:r>
            <w:r w:rsidR="0046389B" w:rsidRPr="00441912">
              <w:rPr>
                <w:rFonts w:ascii="Times New Roman" w:eastAsia="Times New Roman" w:hAnsi="Times New Roman"/>
                <w:color w:val="000000" w:themeColor="text1"/>
                <w:sz w:val="18"/>
                <w:szCs w:val="18"/>
              </w:rPr>
              <w:t xml:space="preserve"> personu grupas – komandas, gan komersant</w:t>
            </w:r>
            <w:r w:rsidR="00441912">
              <w:rPr>
                <w:rFonts w:ascii="Times New Roman" w:eastAsia="Times New Roman" w:hAnsi="Times New Roman"/>
                <w:color w:val="000000" w:themeColor="text1"/>
                <w:sz w:val="18"/>
                <w:szCs w:val="18"/>
              </w:rPr>
              <w:t>i.</w:t>
            </w:r>
          </w:p>
          <w:p w14:paraId="1229E2DB" w14:textId="6BF0AE3E" w:rsidR="00441912" w:rsidRDefault="00441912" w:rsidP="00441912">
            <w:pPr>
              <w:pStyle w:val="ListParagraph"/>
              <w:spacing w:after="0" w:line="240" w:lineRule="auto"/>
              <w:ind w:left="360"/>
              <w:jc w:val="both"/>
              <w:rPr>
                <w:rFonts w:ascii="Times New Roman" w:hAnsi="Times New Roman"/>
                <w:color w:val="242424"/>
                <w:sz w:val="18"/>
                <w:szCs w:val="18"/>
                <w:shd w:val="clear" w:color="auto" w:fill="FFFFFF"/>
              </w:rPr>
            </w:pPr>
          </w:p>
          <w:p w14:paraId="0B5973B1" w14:textId="77777777" w:rsidR="00441912" w:rsidRPr="00441912" w:rsidRDefault="00441912" w:rsidP="00441912">
            <w:pPr>
              <w:pStyle w:val="ListParagraph"/>
              <w:spacing w:after="0" w:line="240" w:lineRule="auto"/>
              <w:ind w:left="360"/>
              <w:jc w:val="both"/>
              <w:rPr>
                <w:rFonts w:ascii="Times New Roman" w:eastAsia="Times New Roman" w:hAnsi="Times New Roman"/>
                <w:sz w:val="18"/>
                <w:szCs w:val="18"/>
              </w:rPr>
            </w:pPr>
          </w:p>
          <w:p w14:paraId="203137DC" w14:textId="7F43C837" w:rsidR="007B4590" w:rsidRPr="00694C7E" w:rsidRDefault="007B4590" w:rsidP="007B4590">
            <w:pPr>
              <w:spacing w:after="0" w:line="240" w:lineRule="auto"/>
              <w:jc w:val="both"/>
              <w:rPr>
                <w:rFonts w:ascii="Times New Roman" w:hAnsi="Times New Roman"/>
                <w:i/>
                <w:iCs/>
                <w:sz w:val="18"/>
                <w:szCs w:val="18"/>
              </w:rPr>
            </w:pPr>
            <w:r w:rsidRPr="00702641">
              <w:rPr>
                <w:rFonts w:ascii="Times New Roman" w:hAnsi="Times New Roman"/>
                <w:i/>
                <w:iCs/>
                <w:sz w:val="18"/>
                <w:szCs w:val="18"/>
              </w:rPr>
              <w:t xml:space="preserve">Iznākuma rādītājam sasniegšanai paredzētais finansējums: </w:t>
            </w:r>
            <w:r w:rsidR="00181900">
              <w:rPr>
                <w:rFonts w:ascii="Times New Roman" w:hAnsi="Times New Roman"/>
                <w:i/>
                <w:iCs/>
                <w:sz w:val="18"/>
                <w:szCs w:val="18"/>
              </w:rPr>
              <w:t xml:space="preserve"> </w:t>
            </w:r>
            <w:r w:rsidR="00181900" w:rsidRPr="00181900">
              <w:rPr>
                <w:rFonts w:ascii="Times New Roman" w:hAnsi="Times New Roman"/>
                <w:i/>
                <w:iCs/>
                <w:sz w:val="18"/>
                <w:szCs w:val="18"/>
              </w:rPr>
              <w:t xml:space="preserve">6 980 300  </w:t>
            </w:r>
            <w:r w:rsidRPr="00702641">
              <w:rPr>
                <w:rFonts w:ascii="Times New Roman" w:hAnsi="Times New Roman"/>
                <w:i/>
                <w:iCs/>
                <w:sz w:val="18"/>
                <w:szCs w:val="18"/>
              </w:rPr>
              <w:t>EUR</w:t>
            </w:r>
            <w:r>
              <w:rPr>
                <w:rFonts w:ascii="Times New Roman" w:hAnsi="Times New Roman"/>
                <w:i/>
                <w:iCs/>
                <w:sz w:val="18"/>
                <w:szCs w:val="18"/>
              </w:rPr>
              <w:t>.</w:t>
            </w:r>
          </w:p>
          <w:p w14:paraId="771B4DCA" w14:textId="77777777" w:rsidR="007B4590" w:rsidRDefault="007B4590" w:rsidP="007B1FDC">
            <w:pPr>
              <w:spacing w:after="0" w:line="240" w:lineRule="auto"/>
              <w:jc w:val="both"/>
              <w:rPr>
                <w:rFonts w:ascii="Times New Roman" w:eastAsia="Times New Roman" w:hAnsi="Times New Roman"/>
                <w:color w:val="000000" w:themeColor="text1"/>
                <w:sz w:val="18"/>
                <w:szCs w:val="18"/>
              </w:rPr>
            </w:pPr>
          </w:p>
          <w:p w14:paraId="478ED131" w14:textId="77777777" w:rsidR="00766B7B" w:rsidRPr="00702641" w:rsidRDefault="00766B7B" w:rsidP="007B1FDC">
            <w:pPr>
              <w:spacing w:after="0" w:line="240" w:lineRule="auto"/>
              <w:jc w:val="both"/>
              <w:rPr>
                <w:rFonts w:ascii="Times New Roman" w:eastAsia="Times New Roman" w:hAnsi="Times New Roman"/>
                <w:color w:val="000000" w:themeColor="text1"/>
                <w:sz w:val="18"/>
                <w:szCs w:val="18"/>
              </w:rPr>
            </w:pPr>
          </w:p>
          <w:p w14:paraId="4C366883" w14:textId="6425DD72" w:rsidR="0033207E" w:rsidRPr="00702641" w:rsidRDefault="0033207E" w:rsidP="0033207E">
            <w:pPr>
              <w:spacing w:after="0" w:line="240" w:lineRule="auto"/>
              <w:jc w:val="both"/>
              <w:rPr>
                <w:rFonts w:ascii="Times New Roman" w:eastAsia="Times New Roman" w:hAnsi="Times New Roman"/>
                <w:color w:val="000000" w:themeColor="text1"/>
                <w:sz w:val="18"/>
                <w:szCs w:val="18"/>
                <w:u w:val="single"/>
              </w:rPr>
            </w:pPr>
            <w:r w:rsidRPr="00702641">
              <w:rPr>
                <w:rFonts w:ascii="Times New Roman" w:hAnsi="Times New Roman"/>
                <w:b/>
                <w:bCs/>
                <w:sz w:val="18"/>
                <w:szCs w:val="18"/>
                <w:u w:val="single"/>
              </w:rPr>
              <w:t xml:space="preserve">IR 10 </w:t>
            </w:r>
            <w:r w:rsidRPr="00702641">
              <w:rPr>
                <w:rFonts w:ascii="Times New Roman" w:eastAsia="Times New Roman" w:hAnsi="Times New Roman"/>
                <w:b/>
                <w:bCs/>
                <w:i/>
                <w:iCs/>
                <w:color w:val="000000" w:themeColor="text1"/>
                <w:sz w:val="18"/>
                <w:szCs w:val="18"/>
                <w:u w:val="single"/>
              </w:rPr>
              <w:t>nosaukums un mērvienība:</w:t>
            </w:r>
            <w:r w:rsidRPr="00702641">
              <w:rPr>
                <w:rFonts w:ascii="Times New Roman" w:eastAsia="Times New Roman" w:hAnsi="Times New Roman"/>
                <w:b/>
                <w:bCs/>
                <w:color w:val="000000" w:themeColor="text1"/>
                <w:sz w:val="18"/>
                <w:szCs w:val="18"/>
                <w:u w:val="single"/>
              </w:rPr>
              <w:t xml:space="preserve"> </w:t>
            </w:r>
            <w:r w:rsidR="002E136F" w:rsidRPr="00702641">
              <w:rPr>
                <w:rFonts w:ascii="Times New Roman" w:eastAsia="Times New Roman" w:hAnsi="Times New Roman"/>
                <w:b/>
                <w:bCs/>
                <w:color w:val="000000" w:themeColor="text1"/>
                <w:sz w:val="18"/>
                <w:szCs w:val="18"/>
                <w:u w:val="single"/>
              </w:rPr>
              <w:t>i.13.1.1.b (</w:t>
            </w:r>
            <w:r w:rsidRPr="00702641">
              <w:rPr>
                <w:rFonts w:ascii="Times New Roman" w:eastAsia="Times New Roman" w:hAnsi="Times New Roman"/>
                <w:b/>
                <w:bCs/>
                <w:color w:val="000000" w:themeColor="text1"/>
                <w:sz w:val="18"/>
                <w:szCs w:val="18"/>
                <w:u w:val="single"/>
              </w:rPr>
              <w:t>CV 27</w:t>
            </w:r>
            <w:r w:rsidR="002E136F" w:rsidRPr="00702641">
              <w:rPr>
                <w:rFonts w:ascii="Times New Roman" w:eastAsia="Times New Roman" w:hAnsi="Times New Roman"/>
                <w:b/>
                <w:bCs/>
                <w:color w:val="000000" w:themeColor="text1"/>
                <w:sz w:val="18"/>
                <w:szCs w:val="18"/>
                <w:u w:val="single"/>
              </w:rPr>
              <w:t>)</w:t>
            </w:r>
            <w:r w:rsidRPr="00702641">
              <w:rPr>
                <w:rFonts w:ascii="Times New Roman" w:eastAsia="Times New Roman" w:hAnsi="Times New Roman"/>
                <w:b/>
                <w:bCs/>
                <w:color w:val="000000" w:themeColor="text1"/>
                <w:sz w:val="18"/>
                <w:szCs w:val="18"/>
                <w:u w:val="single"/>
              </w:rPr>
              <w:t xml:space="preserve"> Privātais finansējums, kas piesaistīts publiskajam finansējumam</w:t>
            </w:r>
            <w:r w:rsidRPr="00702641">
              <w:rPr>
                <w:rFonts w:ascii="Times New Roman" w:eastAsia="Times New Roman" w:hAnsi="Times New Roman"/>
                <w:color w:val="000000" w:themeColor="text1"/>
                <w:sz w:val="18"/>
                <w:szCs w:val="18"/>
                <w:u w:val="single"/>
              </w:rPr>
              <w:t>.</w:t>
            </w:r>
          </w:p>
          <w:p w14:paraId="5E5458C8" w14:textId="3C88A6B0" w:rsidR="0033207E" w:rsidRPr="00702641" w:rsidRDefault="0033207E" w:rsidP="0033207E">
            <w:pPr>
              <w:spacing w:after="0" w:line="240" w:lineRule="auto"/>
              <w:jc w:val="both"/>
              <w:rPr>
                <w:rFonts w:ascii="Times New Roman" w:eastAsia="Times New Roman" w:hAnsi="Times New Roman"/>
                <w:color w:val="000000" w:themeColor="text1"/>
                <w:sz w:val="18"/>
                <w:szCs w:val="18"/>
              </w:rPr>
            </w:pPr>
            <w:r w:rsidRPr="00702641">
              <w:rPr>
                <w:rFonts w:ascii="Times New Roman" w:eastAsia="Times New Roman" w:hAnsi="Times New Roman"/>
                <w:color w:val="000000" w:themeColor="text1"/>
                <w:sz w:val="18"/>
                <w:szCs w:val="18"/>
              </w:rPr>
              <w:t>Rādītājs saistīts ar 3.1.1.SAM</w:t>
            </w:r>
            <w:r w:rsidR="00A01278">
              <w:rPr>
                <w:rFonts w:ascii="Times New Roman" w:eastAsia="Times New Roman" w:hAnsi="Times New Roman"/>
                <w:color w:val="000000" w:themeColor="text1"/>
                <w:sz w:val="18"/>
                <w:szCs w:val="18"/>
              </w:rPr>
              <w:t>, tā kā finansējums tiks ieguldīts šajā SAM.</w:t>
            </w:r>
          </w:p>
          <w:p w14:paraId="64DEDFC6" w14:textId="77777777" w:rsidR="0033207E" w:rsidRPr="00702641" w:rsidRDefault="0033207E" w:rsidP="0033207E">
            <w:pPr>
              <w:spacing w:after="0" w:line="240" w:lineRule="auto"/>
              <w:jc w:val="both"/>
              <w:rPr>
                <w:rFonts w:ascii="Times New Roman" w:eastAsia="Times New Roman" w:hAnsi="Times New Roman"/>
                <w:b/>
                <w:bCs/>
                <w:color w:val="000000" w:themeColor="text1"/>
                <w:sz w:val="18"/>
                <w:szCs w:val="18"/>
              </w:rPr>
            </w:pPr>
          </w:p>
          <w:p w14:paraId="553B9714" w14:textId="77777777" w:rsidR="0033207E" w:rsidRPr="00702641" w:rsidRDefault="0033207E" w:rsidP="0033207E">
            <w:pPr>
              <w:spacing w:after="0" w:line="240" w:lineRule="auto"/>
              <w:jc w:val="both"/>
              <w:rPr>
                <w:rFonts w:ascii="Times New Roman" w:hAnsi="Times New Roman"/>
                <w:i/>
                <w:sz w:val="18"/>
                <w:szCs w:val="18"/>
              </w:rPr>
            </w:pPr>
            <w:r w:rsidRPr="00702641">
              <w:rPr>
                <w:rFonts w:ascii="Times New Roman" w:hAnsi="Times New Roman"/>
                <w:i/>
                <w:sz w:val="18"/>
                <w:szCs w:val="18"/>
              </w:rPr>
              <w:t>Definīcija</w:t>
            </w:r>
            <w:r w:rsidRPr="00702641">
              <w:rPr>
                <w:rFonts w:ascii="Times New Roman" w:hAnsi="Times New Roman"/>
                <w:i/>
                <w:sz w:val="18"/>
                <w:szCs w:val="18"/>
                <w:vertAlign w:val="superscript"/>
              </w:rPr>
              <w:fldChar w:fldCharType="begin"/>
            </w:r>
            <w:r w:rsidRPr="00702641">
              <w:rPr>
                <w:rFonts w:ascii="Times New Roman" w:hAnsi="Times New Roman"/>
                <w:i/>
                <w:sz w:val="18"/>
                <w:szCs w:val="18"/>
                <w:vertAlign w:val="superscript"/>
              </w:rPr>
              <w:instrText xml:space="preserve"> NOTEREF _Ref526335223 \h  \* MERGEFORMAT </w:instrText>
            </w:r>
            <w:r w:rsidRPr="00702641">
              <w:rPr>
                <w:rFonts w:ascii="Times New Roman" w:hAnsi="Times New Roman"/>
                <w:i/>
                <w:sz w:val="18"/>
                <w:szCs w:val="18"/>
                <w:vertAlign w:val="superscript"/>
              </w:rPr>
            </w:r>
            <w:r w:rsidRPr="00702641">
              <w:rPr>
                <w:rFonts w:ascii="Times New Roman" w:hAnsi="Times New Roman"/>
                <w:i/>
                <w:sz w:val="18"/>
                <w:szCs w:val="18"/>
                <w:vertAlign w:val="superscript"/>
              </w:rPr>
              <w:fldChar w:fldCharType="separate"/>
            </w:r>
            <w:r w:rsidRPr="00702641">
              <w:rPr>
                <w:rFonts w:ascii="Times New Roman" w:hAnsi="Times New Roman"/>
                <w:i/>
                <w:sz w:val="18"/>
                <w:szCs w:val="18"/>
                <w:vertAlign w:val="superscript"/>
              </w:rPr>
              <w:t>2</w:t>
            </w:r>
            <w:r w:rsidRPr="00702641">
              <w:rPr>
                <w:rFonts w:ascii="Times New Roman" w:hAnsi="Times New Roman"/>
                <w:i/>
                <w:sz w:val="18"/>
                <w:szCs w:val="18"/>
                <w:vertAlign w:val="superscript"/>
              </w:rPr>
              <w:fldChar w:fldCharType="end"/>
            </w:r>
            <w:r w:rsidRPr="00702641">
              <w:rPr>
                <w:rFonts w:ascii="Times New Roman" w:hAnsi="Times New Roman"/>
                <w:i/>
                <w:sz w:val="18"/>
                <w:szCs w:val="18"/>
              </w:rPr>
              <w:t>:</w:t>
            </w:r>
            <w:r w:rsidRPr="00702641">
              <w:rPr>
                <w:rFonts w:ascii="Times New Roman" w:hAnsi="Times New Roman"/>
                <w:sz w:val="18"/>
                <w:szCs w:val="18"/>
              </w:rPr>
              <w:t xml:space="preserve"> Kopējais rādītājs, norādot datus par 3.1.1.1. pasākumu.</w:t>
            </w:r>
          </w:p>
          <w:p w14:paraId="6A1FC689" w14:textId="77777777" w:rsidR="0033207E" w:rsidRPr="00702641" w:rsidRDefault="0033207E" w:rsidP="0033207E">
            <w:pPr>
              <w:spacing w:after="0" w:line="240" w:lineRule="auto"/>
              <w:jc w:val="both"/>
              <w:rPr>
                <w:rFonts w:ascii="Times New Roman" w:hAnsi="Times New Roman"/>
                <w:sz w:val="18"/>
                <w:szCs w:val="18"/>
              </w:rPr>
            </w:pPr>
          </w:p>
          <w:p w14:paraId="601061AA" w14:textId="77777777" w:rsidR="0033207E" w:rsidRPr="00702641" w:rsidRDefault="0033207E" w:rsidP="0033207E">
            <w:pPr>
              <w:spacing w:after="0" w:line="240" w:lineRule="auto"/>
              <w:jc w:val="both"/>
              <w:rPr>
                <w:rFonts w:ascii="Times New Roman" w:hAnsi="Times New Roman"/>
                <w:sz w:val="18"/>
                <w:szCs w:val="18"/>
              </w:rPr>
            </w:pPr>
            <w:r w:rsidRPr="00702641">
              <w:rPr>
                <w:rFonts w:ascii="Times New Roman" w:hAnsi="Times New Roman"/>
                <w:i/>
                <w:sz w:val="18"/>
                <w:szCs w:val="18"/>
              </w:rPr>
              <w:t>Datu avots</w:t>
            </w:r>
            <w:r w:rsidRPr="00702641">
              <w:rPr>
                <w:rFonts w:ascii="Times New Roman" w:hAnsi="Times New Roman"/>
                <w:sz w:val="18"/>
                <w:szCs w:val="18"/>
              </w:rPr>
              <w:t>: Projektu dati</w:t>
            </w:r>
          </w:p>
          <w:p w14:paraId="6F7FA62C" w14:textId="77777777" w:rsidR="0033207E" w:rsidRPr="00702641" w:rsidRDefault="0033207E" w:rsidP="0033207E">
            <w:pPr>
              <w:spacing w:after="0" w:line="240" w:lineRule="auto"/>
              <w:jc w:val="both"/>
              <w:rPr>
                <w:rFonts w:ascii="Times New Roman" w:hAnsi="Times New Roman"/>
                <w:sz w:val="18"/>
                <w:szCs w:val="18"/>
              </w:rPr>
            </w:pPr>
          </w:p>
          <w:p w14:paraId="0F16EA03" w14:textId="77777777" w:rsidR="0033207E" w:rsidRPr="00702641" w:rsidRDefault="0033207E" w:rsidP="0033207E">
            <w:pPr>
              <w:spacing w:after="0" w:line="240" w:lineRule="auto"/>
              <w:jc w:val="both"/>
              <w:rPr>
                <w:rFonts w:ascii="Times New Roman" w:hAnsi="Times New Roman"/>
                <w:i/>
                <w:sz w:val="18"/>
                <w:szCs w:val="18"/>
              </w:rPr>
            </w:pPr>
            <w:r w:rsidRPr="00702641">
              <w:rPr>
                <w:rFonts w:ascii="Times New Roman" w:hAnsi="Times New Roman"/>
                <w:i/>
                <w:sz w:val="18"/>
                <w:szCs w:val="18"/>
              </w:rPr>
              <w:t>Apkopošanas biežums un ieguves metodoloģija:</w:t>
            </w:r>
            <w:r w:rsidRPr="00702641">
              <w:rPr>
                <w:rFonts w:ascii="Times New Roman" w:hAnsi="Times New Roman"/>
                <w:sz w:val="18"/>
                <w:szCs w:val="18"/>
              </w:rPr>
              <w:t xml:space="preserve"> katru gadu, apkopojot informāciju no Altum maksājuma pieprasījuma, kas sniegts par iepriekšējā gada 4.ceturksni/ KPVIS sistēmas. </w:t>
            </w:r>
          </w:p>
          <w:p w14:paraId="7D1C2AA9" w14:textId="77777777" w:rsidR="0033207E" w:rsidRPr="00702641" w:rsidRDefault="0033207E" w:rsidP="0033207E">
            <w:pPr>
              <w:spacing w:after="0" w:line="240" w:lineRule="auto"/>
              <w:jc w:val="both"/>
              <w:rPr>
                <w:rFonts w:ascii="Times New Roman" w:hAnsi="Times New Roman"/>
                <w:sz w:val="18"/>
                <w:szCs w:val="18"/>
              </w:rPr>
            </w:pPr>
          </w:p>
          <w:p w14:paraId="3C9D90BA" w14:textId="77777777" w:rsidR="0033207E" w:rsidRPr="00702641" w:rsidRDefault="0033207E" w:rsidP="0033207E">
            <w:pPr>
              <w:spacing w:after="0" w:line="240" w:lineRule="auto"/>
              <w:jc w:val="both"/>
              <w:rPr>
                <w:rFonts w:ascii="Times New Roman" w:hAnsi="Times New Roman"/>
                <w:sz w:val="18"/>
                <w:szCs w:val="18"/>
              </w:rPr>
            </w:pPr>
            <w:r w:rsidRPr="00702641">
              <w:rPr>
                <w:rFonts w:ascii="Times New Roman" w:eastAsiaTheme="minorHAnsi" w:hAnsi="Times New Roman"/>
                <w:i/>
                <w:sz w:val="18"/>
                <w:szCs w:val="18"/>
              </w:rPr>
              <w:t xml:space="preserve">Darbība, kas liek uzskatīt mērķa vērtību par izpildītu: </w:t>
            </w:r>
            <w:r w:rsidRPr="00702641">
              <w:rPr>
                <w:rFonts w:ascii="Times New Roman" w:hAnsi="Times New Roman"/>
                <w:sz w:val="18"/>
                <w:szCs w:val="18"/>
              </w:rPr>
              <w:t>Rādītāju uzskaita 3.1.1.1. pasākuma ietvaros, norādot kredītiestādes vai tās meitas sabiedrības noslēgto finansējuma līguma summu, par kuru tika piesaistīta Altum garantija.</w:t>
            </w:r>
          </w:p>
          <w:p w14:paraId="03C608D0" w14:textId="77777777" w:rsidR="0033207E" w:rsidRPr="00702641" w:rsidRDefault="0033207E" w:rsidP="0033207E">
            <w:pPr>
              <w:spacing w:after="0" w:line="240" w:lineRule="auto"/>
              <w:jc w:val="both"/>
              <w:rPr>
                <w:rFonts w:ascii="Times New Roman" w:hAnsi="Times New Roman"/>
                <w:sz w:val="18"/>
                <w:szCs w:val="18"/>
              </w:rPr>
            </w:pPr>
          </w:p>
          <w:p w14:paraId="21682631" w14:textId="77777777" w:rsidR="0033207E" w:rsidRPr="00702641" w:rsidRDefault="0033207E" w:rsidP="0033207E">
            <w:pPr>
              <w:spacing w:after="0" w:line="240" w:lineRule="auto"/>
              <w:jc w:val="both"/>
              <w:rPr>
                <w:rFonts w:ascii="Times New Roman" w:hAnsi="Times New Roman"/>
                <w:i/>
                <w:sz w:val="18"/>
                <w:szCs w:val="18"/>
              </w:rPr>
            </w:pPr>
          </w:p>
          <w:p w14:paraId="338DF108" w14:textId="6664DBFE" w:rsidR="0033207E" w:rsidRDefault="0033207E" w:rsidP="0033207E">
            <w:pPr>
              <w:spacing w:after="0" w:line="240" w:lineRule="auto"/>
              <w:jc w:val="both"/>
              <w:rPr>
                <w:rFonts w:ascii="Times New Roman" w:hAnsi="Times New Roman"/>
                <w:sz w:val="18"/>
                <w:szCs w:val="18"/>
              </w:rPr>
            </w:pPr>
            <w:r w:rsidRPr="00702641">
              <w:rPr>
                <w:rFonts w:ascii="Times New Roman" w:hAnsi="Times New Roman"/>
                <w:i/>
                <w:sz w:val="18"/>
                <w:szCs w:val="18"/>
              </w:rPr>
              <w:t>Mērķis 2023</w:t>
            </w:r>
            <w:r w:rsidRPr="00702641">
              <w:rPr>
                <w:rFonts w:ascii="Times New Roman" w:hAnsi="Times New Roman"/>
                <w:sz w:val="18"/>
                <w:szCs w:val="18"/>
              </w:rPr>
              <w:t xml:space="preserve">: </w:t>
            </w:r>
            <w:r w:rsidR="003A2742">
              <w:rPr>
                <w:rFonts w:ascii="Times New Roman" w:hAnsi="Times New Roman"/>
                <w:sz w:val="18"/>
                <w:szCs w:val="18"/>
              </w:rPr>
              <w:t>2</w:t>
            </w:r>
            <w:r w:rsidR="003A2742" w:rsidRPr="00702641">
              <w:rPr>
                <w:rFonts w:ascii="Times New Roman" w:hAnsi="Times New Roman"/>
                <w:sz w:val="18"/>
                <w:szCs w:val="18"/>
              </w:rPr>
              <w:t xml:space="preserve">0 </w:t>
            </w:r>
            <w:r w:rsidRPr="00702641">
              <w:rPr>
                <w:rFonts w:ascii="Times New Roman" w:hAnsi="Times New Roman"/>
                <w:sz w:val="18"/>
                <w:szCs w:val="18"/>
              </w:rPr>
              <w:t>000</w:t>
            </w:r>
            <w:r w:rsidR="00894BA7">
              <w:rPr>
                <w:rFonts w:ascii="Times New Roman" w:hAnsi="Times New Roman"/>
                <w:sz w:val="18"/>
                <w:szCs w:val="18"/>
              </w:rPr>
              <w:t> </w:t>
            </w:r>
            <w:r w:rsidRPr="00702641">
              <w:rPr>
                <w:rFonts w:ascii="Times New Roman" w:hAnsi="Times New Roman"/>
                <w:sz w:val="18"/>
                <w:szCs w:val="18"/>
              </w:rPr>
              <w:t>000</w:t>
            </w:r>
          </w:p>
          <w:p w14:paraId="67648177" w14:textId="77777777" w:rsidR="0033207E" w:rsidRPr="00702641" w:rsidRDefault="0033207E" w:rsidP="0033207E">
            <w:pPr>
              <w:spacing w:after="0" w:line="240" w:lineRule="auto"/>
              <w:jc w:val="both"/>
              <w:rPr>
                <w:rFonts w:ascii="Times New Roman" w:hAnsi="Times New Roman"/>
                <w:sz w:val="18"/>
                <w:szCs w:val="18"/>
              </w:rPr>
            </w:pPr>
          </w:p>
          <w:p w14:paraId="15C7AFF7" w14:textId="77777777" w:rsidR="0033207E" w:rsidRPr="00702641" w:rsidRDefault="0033207E" w:rsidP="0033207E">
            <w:pPr>
              <w:spacing w:after="0" w:line="240" w:lineRule="auto"/>
              <w:jc w:val="both"/>
              <w:rPr>
                <w:rFonts w:ascii="Times New Roman" w:hAnsi="Times New Roman"/>
                <w:sz w:val="18"/>
                <w:szCs w:val="18"/>
              </w:rPr>
            </w:pPr>
            <w:r w:rsidRPr="00702641">
              <w:rPr>
                <w:rFonts w:ascii="Times New Roman" w:hAnsi="Times New Roman"/>
                <w:i/>
                <w:sz w:val="18"/>
                <w:szCs w:val="18"/>
              </w:rPr>
              <w:t>Mērķa vērtības noteikšanas principi/metodoloģija</w:t>
            </w:r>
            <w:r w:rsidRPr="00702641">
              <w:rPr>
                <w:rFonts w:ascii="Times New Roman" w:hAnsi="Times New Roman"/>
                <w:sz w:val="18"/>
                <w:szCs w:val="18"/>
              </w:rPr>
              <w:t xml:space="preserve">: </w:t>
            </w:r>
          </w:p>
          <w:p w14:paraId="28B64244" w14:textId="77777777" w:rsidR="0033207E" w:rsidRPr="00702641" w:rsidRDefault="0033207E" w:rsidP="0033207E">
            <w:pPr>
              <w:spacing w:after="0" w:line="240" w:lineRule="auto"/>
              <w:jc w:val="both"/>
              <w:rPr>
                <w:rFonts w:ascii="Times New Roman" w:hAnsi="Times New Roman"/>
                <w:sz w:val="18"/>
                <w:szCs w:val="18"/>
              </w:rPr>
            </w:pPr>
          </w:p>
          <w:p w14:paraId="7318F2A2" w14:textId="3800D4C1" w:rsidR="0033207E" w:rsidRPr="00702641" w:rsidRDefault="0033207E" w:rsidP="0033207E">
            <w:pPr>
              <w:spacing w:after="0" w:line="240" w:lineRule="auto"/>
              <w:jc w:val="both"/>
              <w:rPr>
                <w:rFonts w:ascii="Times New Roman" w:hAnsi="Times New Roman"/>
                <w:i/>
                <w:iCs/>
                <w:sz w:val="18"/>
                <w:szCs w:val="18"/>
              </w:rPr>
            </w:pPr>
            <w:r w:rsidRPr="00702641">
              <w:rPr>
                <w:rFonts w:ascii="Times New Roman" w:hAnsi="Times New Roman"/>
                <w:sz w:val="18"/>
                <w:szCs w:val="18"/>
              </w:rPr>
              <w:t xml:space="preserve">Rādītāju uzskaita par 3.1.1.1.pasākumu. </w:t>
            </w:r>
            <w:r w:rsidR="00222200">
              <w:rPr>
                <w:rFonts w:ascii="Times New Roman" w:hAnsi="Times New Roman"/>
                <w:sz w:val="18"/>
                <w:szCs w:val="18"/>
              </w:rPr>
              <w:t>Atbilstoši faktiskajam izsniegtajam garantiju apmērām un ņ</w:t>
            </w:r>
            <w:r w:rsidRPr="00702641">
              <w:rPr>
                <w:rFonts w:ascii="Times New Roman" w:hAnsi="Times New Roman"/>
                <w:sz w:val="18"/>
                <w:szCs w:val="18"/>
              </w:rPr>
              <w:t xml:space="preserve">emot </w:t>
            </w:r>
            <w:r w:rsidRPr="00702641">
              <w:rPr>
                <w:rFonts w:ascii="Times New Roman" w:hAnsi="Times New Roman"/>
                <w:sz w:val="18"/>
                <w:szCs w:val="18"/>
              </w:rPr>
              <w:lastRenderedPageBreak/>
              <w:t xml:space="preserve">vērā to, </w:t>
            </w:r>
            <w:r w:rsidR="003A2742">
              <w:rPr>
                <w:rFonts w:ascii="Times New Roman" w:hAnsi="Times New Roman"/>
                <w:sz w:val="18"/>
                <w:szCs w:val="18"/>
              </w:rPr>
              <w:t>ka , tiek prognozēts, ka līdz 2023.gadam tiks sasniegta 20 milj.EUR vērtība.</w:t>
            </w:r>
          </w:p>
          <w:p w14:paraId="1F211914" w14:textId="29E0C398" w:rsidR="0033207E" w:rsidRDefault="0033207E" w:rsidP="0033207E">
            <w:pPr>
              <w:spacing w:after="0" w:line="240" w:lineRule="auto"/>
              <w:jc w:val="both"/>
              <w:rPr>
                <w:rFonts w:ascii="Times New Roman" w:hAnsi="Times New Roman"/>
                <w:sz w:val="18"/>
                <w:szCs w:val="18"/>
              </w:rPr>
            </w:pPr>
          </w:p>
          <w:p w14:paraId="48D07746" w14:textId="77777777" w:rsidR="003A2742" w:rsidRPr="00702641" w:rsidRDefault="003A2742" w:rsidP="0033207E">
            <w:pPr>
              <w:spacing w:after="0" w:line="240" w:lineRule="auto"/>
              <w:jc w:val="both"/>
              <w:rPr>
                <w:rFonts w:ascii="Times New Roman" w:hAnsi="Times New Roman"/>
                <w:sz w:val="18"/>
                <w:szCs w:val="18"/>
              </w:rPr>
            </w:pPr>
          </w:p>
          <w:p w14:paraId="53CBE137" w14:textId="12EECB01" w:rsidR="0033207E" w:rsidRPr="00702641" w:rsidRDefault="0033207E" w:rsidP="0033207E">
            <w:pPr>
              <w:spacing w:after="0" w:line="240" w:lineRule="auto"/>
              <w:jc w:val="both"/>
              <w:rPr>
                <w:rFonts w:ascii="Times New Roman" w:hAnsi="Times New Roman"/>
                <w:sz w:val="18"/>
                <w:szCs w:val="18"/>
              </w:rPr>
            </w:pPr>
            <w:r w:rsidRPr="00702641">
              <w:rPr>
                <w:rFonts w:ascii="Times New Roman" w:hAnsi="Times New Roman"/>
                <w:i/>
                <w:iCs/>
                <w:sz w:val="18"/>
                <w:szCs w:val="18"/>
              </w:rPr>
              <w:t xml:space="preserve">Iznākuma rādītājam sasniegšanai paredzētais finansējums: </w:t>
            </w:r>
            <w:r w:rsidR="003A2742">
              <w:rPr>
                <w:rFonts w:ascii="Times New Roman" w:hAnsi="Times New Roman"/>
                <w:i/>
                <w:iCs/>
                <w:sz w:val="18"/>
                <w:szCs w:val="18"/>
              </w:rPr>
              <w:t>9</w:t>
            </w:r>
            <w:r w:rsidR="003A2742" w:rsidRPr="00702641">
              <w:rPr>
                <w:rFonts w:ascii="Times New Roman" w:hAnsi="Times New Roman"/>
                <w:sz w:val="18"/>
                <w:szCs w:val="18"/>
              </w:rPr>
              <w:t xml:space="preserve"> </w:t>
            </w:r>
            <w:r w:rsidRPr="00702641">
              <w:rPr>
                <w:rFonts w:ascii="Times New Roman" w:hAnsi="Times New Roman"/>
                <w:sz w:val="18"/>
                <w:szCs w:val="18"/>
              </w:rPr>
              <w:t>000 000 EUR.</w:t>
            </w:r>
          </w:p>
          <w:p w14:paraId="4F8BE9B9" w14:textId="77777777" w:rsidR="0033207E" w:rsidRPr="00702641" w:rsidRDefault="0033207E" w:rsidP="0033207E">
            <w:pPr>
              <w:spacing w:after="0" w:line="240" w:lineRule="auto"/>
              <w:jc w:val="both"/>
              <w:rPr>
                <w:rFonts w:ascii="Times New Roman" w:hAnsi="Times New Roman"/>
                <w:color w:val="000000" w:themeColor="text1"/>
                <w:sz w:val="18"/>
                <w:szCs w:val="18"/>
              </w:rPr>
            </w:pPr>
          </w:p>
          <w:p w14:paraId="255F7FB5" w14:textId="696948D6" w:rsidR="00702641" w:rsidRDefault="002640C5" w:rsidP="00702641">
            <w:pPr>
              <w:spacing w:after="0" w:line="240" w:lineRule="auto"/>
              <w:jc w:val="both"/>
              <w:rPr>
                <w:rFonts w:ascii="Times New Roman" w:eastAsiaTheme="minorHAnsi" w:hAnsi="Times New Roman"/>
                <w:b/>
                <w:bCs/>
                <w:sz w:val="18"/>
                <w:szCs w:val="18"/>
              </w:rPr>
            </w:pPr>
            <w:r w:rsidRPr="002640C5">
              <w:rPr>
                <w:rFonts w:ascii="Times New Roman" w:eastAsiaTheme="minorHAnsi" w:hAnsi="Times New Roman"/>
                <w:b/>
                <w:bCs/>
                <w:i/>
                <w:iCs/>
                <w:sz w:val="18"/>
                <w:szCs w:val="18"/>
              </w:rPr>
              <w:t>IR 11 nosaukums un mērvienība</w:t>
            </w:r>
            <w:r w:rsidRPr="002640C5">
              <w:rPr>
                <w:rFonts w:ascii="Times New Roman" w:eastAsiaTheme="minorHAnsi" w:hAnsi="Times New Roman"/>
                <w:b/>
                <w:bCs/>
                <w:sz w:val="18"/>
                <w:szCs w:val="18"/>
              </w:rPr>
              <w:t xml:space="preserve">: </w:t>
            </w:r>
            <w:r w:rsidR="00702641" w:rsidRPr="00702641">
              <w:rPr>
                <w:rFonts w:ascii="Times New Roman" w:eastAsiaTheme="minorHAnsi" w:hAnsi="Times New Roman"/>
                <w:b/>
                <w:bCs/>
                <w:sz w:val="18"/>
                <w:szCs w:val="18"/>
              </w:rPr>
              <w:t>i.13.1.1.c (CO31)Mājsaimniecību skaits ar uzlabotu enerģijas patēriņa klasifikāciju</w:t>
            </w:r>
          </w:p>
          <w:p w14:paraId="3029F0F6" w14:textId="23D76B77" w:rsidR="002640C5" w:rsidRPr="00702641" w:rsidRDefault="002640C5" w:rsidP="002640C5">
            <w:pPr>
              <w:spacing w:after="0" w:line="240" w:lineRule="auto"/>
              <w:jc w:val="both"/>
              <w:rPr>
                <w:rFonts w:ascii="Times New Roman" w:eastAsia="Times New Roman" w:hAnsi="Times New Roman"/>
                <w:color w:val="000000" w:themeColor="text1"/>
                <w:sz w:val="18"/>
                <w:szCs w:val="18"/>
              </w:rPr>
            </w:pPr>
            <w:r w:rsidRPr="00702641">
              <w:rPr>
                <w:rFonts w:ascii="Times New Roman" w:eastAsia="Times New Roman" w:hAnsi="Times New Roman"/>
                <w:color w:val="000000" w:themeColor="text1"/>
                <w:sz w:val="18"/>
                <w:szCs w:val="18"/>
              </w:rPr>
              <w:t xml:space="preserve">Rādītājs saistīts ar </w:t>
            </w:r>
            <w:r>
              <w:rPr>
                <w:rFonts w:ascii="Times New Roman" w:eastAsia="Times New Roman" w:hAnsi="Times New Roman"/>
                <w:color w:val="000000" w:themeColor="text1"/>
                <w:sz w:val="18"/>
                <w:szCs w:val="18"/>
              </w:rPr>
              <w:t>4.2</w:t>
            </w:r>
            <w:r w:rsidRPr="00702641">
              <w:rPr>
                <w:rFonts w:ascii="Times New Roman" w:eastAsia="Times New Roman" w:hAnsi="Times New Roman"/>
                <w:color w:val="000000" w:themeColor="text1"/>
                <w:sz w:val="18"/>
                <w:szCs w:val="18"/>
              </w:rPr>
              <w:t>.1.SAM</w:t>
            </w:r>
            <w:r w:rsidR="00A01278">
              <w:rPr>
                <w:rFonts w:ascii="Times New Roman" w:eastAsia="Times New Roman" w:hAnsi="Times New Roman"/>
                <w:color w:val="000000" w:themeColor="text1"/>
                <w:sz w:val="18"/>
                <w:szCs w:val="18"/>
              </w:rPr>
              <w:t>, tā kā finansējums tiks ieguldīts šajā SAM</w:t>
            </w:r>
          </w:p>
          <w:p w14:paraId="5BB2FEB2" w14:textId="77777777" w:rsidR="00702641" w:rsidRPr="00702641" w:rsidRDefault="00702641" w:rsidP="00702641">
            <w:pPr>
              <w:spacing w:after="0" w:line="240" w:lineRule="auto"/>
              <w:jc w:val="both"/>
              <w:rPr>
                <w:rFonts w:ascii="Times New Roman" w:eastAsiaTheme="minorHAnsi" w:hAnsi="Times New Roman"/>
                <w:sz w:val="18"/>
                <w:szCs w:val="18"/>
              </w:rPr>
            </w:pPr>
          </w:p>
          <w:p w14:paraId="7F3B2DD7" w14:textId="4562B574" w:rsidR="00702641" w:rsidRPr="00702641" w:rsidRDefault="00702641" w:rsidP="00702641">
            <w:pPr>
              <w:spacing w:after="0" w:line="240" w:lineRule="auto"/>
              <w:jc w:val="both"/>
              <w:rPr>
                <w:rFonts w:ascii="Times New Roman" w:eastAsiaTheme="minorHAnsi" w:hAnsi="Times New Roman"/>
                <w:sz w:val="18"/>
                <w:szCs w:val="18"/>
              </w:rPr>
            </w:pPr>
            <w:r w:rsidRPr="00702641">
              <w:rPr>
                <w:rFonts w:ascii="Times New Roman" w:eastAsiaTheme="minorHAnsi" w:hAnsi="Times New Roman"/>
                <w:i/>
                <w:sz w:val="18"/>
                <w:szCs w:val="18"/>
              </w:rPr>
              <w:t>Definīcija</w:t>
            </w:r>
            <w:r w:rsidRPr="00702641">
              <w:t>:</w:t>
            </w:r>
            <w:r w:rsidR="002640C5">
              <w:t xml:space="preserve"> </w:t>
            </w:r>
            <w:r w:rsidRPr="00702641">
              <w:rPr>
                <w:rFonts w:ascii="Times New Roman" w:eastAsiaTheme="minorHAnsi" w:hAnsi="Times New Roman"/>
                <w:sz w:val="18"/>
                <w:szCs w:val="18"/>
              </w:rPr>
              <w:t>Mājsaimniecību skaits, kas pēc pabeigtiem daudzdzīvokļu mājas renovācijas (energoefektivitātes uzlabošanas pasākumiem) ir ar uzlabotu enerģijas patēriņa klasifikāciju.</w:t>
            </w:r>
          </w:p>
          <w:p w14:paraId="1C5A89D1" w14:textId="77777777" w:rsidR="00702641" w:rsidRPr="00702641" w:rsidRDefault="00702641" w:rsidP="00702641">
            <w:pPr>
              <w:spacing w:after="0" w:line="240" w:lineRule="auto"/>
              <w:jc w:val="both"/>
              <w:rPr>
                <w:rFonts w:ascii="Times New Roman" w:eastAsiaTheme="minorHAnsi" w:hAnsi="Times New Roman"/>
                <w:sz w:val="18"/>
                <w:szCs w:val="18"/>
              </w:rPr>
            </w:pPr>
          </w:p>
          <w:p w14:paraId="57AA79B4" w14:textId="76D7F64F" w:rsidR="00702641" w:rsidRPr="00702641" w:rsidRDefault="00702641" w:rsidP="00702641">
            <w:pPr>
              <w:spacing w:after="0" w:line="240" w:lineRule="auto"/>
              <w:jc w:val="both"/>
              <w:rPr>
                <w:rFonts w:ascii="Times New Roman" w:eastAsiaTheme="minorHAnsi" w:hAnsi="Times New Roman"/>
                <w:sz w:val="18"/>
                <w:szCs w:val="18"/>
              </w:rPr>
            </w:pPr>
            <w:r w:rsidRPr="00702641">
              <w:rPr>
                <w:rFonts w:ascii="Times New Roman" w:eastAsiaTheme="minorHAnsi" w:hAnsi="Times New Roman"/>
                <w:i/>
                <w:sz w:val="18"/>
                <w:szCs w:val="18"/>
              </w:rPr>
              <w:t>Datu avots</w:t>
            </w:r>
            <w:r w:rsidRPr="00702641">
              <w:rPr>
                <w:rFonts w:ascii="Times New Roman" w:eastAsiaTheme="minorHAnsi" w:hAnsi="Times New Roman"/>
                <w:sz w:val="18"/>
                <w:szCs w:val="18"/>
              </w:rPr>
              <w:t>: Projektu dati</w:t>
            </w:r>
          </w:p>
          <w:p w14:paraId="420BDFC2" w14:textId="77777777" w:rsidR="00702641" w:rsidRPr="00702641" w:rsidRDefault="00702641" w:rsidP="00702641">
            <w:pPr>
              <w:spacing w:after="0" w:line="240" w:lineRule="auto"/>
              <w:jc w:val="both"/>
              <w:rPr>
                <w:rFonts w:ascii="Times New Roman" w:eastAsiaTheme="minorHAnsi" w:hAnsi="Times New Roman"/>
                <w:sz w:val="18"/>
                <w:szCs w:val="18"/>
              </w:rPr>
            </w:pPr>
          </w:p>
          <w:p w14:paraId="314B33DE" w14:textId="5611265D" w:rsidR="00702641" w:rsidRPr="00702641" w:rsidRDefault="00702641" w:rsidP="00702641">
            <w:pPr>
              <w:spacing w:after="0" w:line="240" w:lineRule="auto"/>
              <w:jc w:val="both"/>
              <w:rPr>
                <w:rFonts w:ascii="Times New Roman" w:eastAsiaTheme="minorHAnsi" w:hAnsi="Times New Roman"/>
                <w:iCs/>
                <w:sz w:val="18"/>
                <w:szCs w:val="18"/>
              </w:rPr>
            </w:pPr>
            <w:r w:rsidRPr="00702641">
              <w:rPr>
                <w:rFonts w:ascii="Times New Roman" w:eastAsiaTheme="minorHAnsi" w:hAnsi="Times New Roman"/>
                <w:i/>
                <w:sz w:val="18"/>
                <w:szCs w:val="18"/>
              </w:rPr>
              <w:t xml:space="preserve">Apkopošanas biežums un ieguves metodoloģija: </w:t>
            </w:r>
            <w:r w:rsidRPr="00702641">
              <w:rPr>
                <w:rFonts w:ascii="Times New Roman" w:eastAsiaTheme="minorHAnsi" w:hAnsi="Times New Roman"/>
                <w:iCs/>
                <w:sz w:val="18"/>
                <w:szCs w:val="18"/>
              </w:rPr>
              <w:t>Reizi gadā</w:t>
            </w:r>
          </w:p>
          <w:p w14:paraId="2D119C6C" w14:textId="77777777" w:rsidR="00702641" w:rsidRPr="00702641" w:rsidRDefault="00702641" w:rsidP="00702641">
            <w:pPr>
              <w:spacing w:after="0" w:line="240" w:lineRule="auto"/>
              <w:jc w:val="both"/>
              <w:rPr>
                <w:rFonts w:ascii="Times New Roman" w:eastAsiaTheme="minorHAnsi" w:hAnsi="Times New Roman"/>
                <w:sz w:val="18"/>
                <w:szCs w:val="18"/>
              </w:rPr>
            </w:pPr>
          </w:p>
          <w:p w14:paraId="17AAADBC" w14:textId="77777777" w:rsidR="00702641" w:rsidRPr="00702641" w:rsidRDefault="00702641" w:rsidP="00702641">
            <w:pPr>
              <w:spacing w:after="0" w:line="240" w:lineRule="auto"/>
              <w:jc w:val="both"/>
              <w:rPr>
                <w:rFonts w:ascii="Times New Roman" w:eastAsiaTheme="minorHAnsi" w:hAnsi="Times New Roman"/>
                <w:i/>
                <w:sz w:val="18"/>
                <w:szCs w:val="18"/>
              </w:rPr>
            </w:pPr>
            <w:r w:rsidRPr="00702641">
              <w:rPr>
                <w:rFonts w:ascii="Times New Roman" w:eastAsiaTheme="minorHAnsi" w:hAnsi="Times New Roman"/>
                <w:i/>
                <w:sz w:val="18"/>
                <w:szCs w:val="18"/>
              </w:rPr>
              <w:t>Darbība, kas liek uzskatīt mērķa vērtību par izpildītu:</w:t>
            </w:r>
          </w:p>
          <w:p w14:paraId="09D7B840" w14:textId="77777777" w:rsidR="00702641" w:rsidRPr="00702641" w:rsidRDefault="00702641" w:rsidP="00702641">
            <w:pPr>
              <w:spacing w:after="0" w:line="240" w:lineRule="auto"/>
              <w:jc w:val="both"/>
              <w:rPr>
                <w:rFonts w:ascii="Times New Roman" w:eastAsiaTheme="minorHAnsi" w:hAnsi="Times New Roman"/>
                <w:sz w:val="18"/>
                <w:szCs w:val="18"/>
              </w:rPr>
            </w:pPr>
            <w:r w:rsidRPr="00702641">
              <w:rPr>
                <w:rFonts w:ascii="Times New Roman" w:eastAsiaTheme="minorHAnsi" w:hAnsi="Times New Roman"/>
                <w:sz w:val="18"/>
                <w:szCs w:val="18"/>
              </w:rPr>
              <w:t>Pabeigta daudzdzīvokļu māju renovācija (energoefektivitātes uzlabošanas pasākumi).</w:t>
            </w:r>
          </w:p>
          <w:p w14:paraId="33C43682" w14:textId="77777777" w:rsidR="00702641" w:rsidRPr="00702641" w:rsidRDefault="00702641" w:rsidP="00702641">
            <w:pPr>
              <w:spacing w:after="0" w:line="240" w:lineRule="auto"/>
              <w:jc w:val="both"/>
              <w:rPr>
                <w:rFonts w:ascii="Times New Roman" w:eastAsiaTheme="minorHAnsi" w:hAnsi="Times New Roman"/>
                <w:sz w:val="18"/>
                <w:szCs w:val="18"/>
              </w:rPr>
            </w:pPr>
          </w:p>
          <w:p w14:paraId="096BE91B" w14:textId="60FC7C24" w:rsidR="00702641" w:rsidRDefault="00702641" w:rsidP="00702641">
            <w:pPr>
              <w:spacing w:after="0" w:line="240" w:lineRule="auto"/>
              <w:jc w:val="both"/>
              <w:rPr>
                <w:rFonts w:ascii="Times New Roman" w:eastAsiaTheme="minorHAnsi" w:hAnsi="Times New Roman"/>
                <w:sz w:val="18"/>
                <w:szCs w:val="18"/>
              </w:rPr>
            </w:pPr>
            <w:r w:rsidRPr="00702641">
              <w:rPr>
                <w:rFonts w:ascii="Times New Roman" w:eastAsiaTheme="minorHAnsi" w:hAnsi="Times New Roman"/>
                <w:i/>
                <w:sz w:val="18"/>
                <w:szCs w:val="18"/>
              </w:rPr>
              <w:t>Mērķis 2023</w:t>
            </w:r>
            <w:r w:rsidRPr="00702641">
              <w:rPr>
                <w:rFonts w:ascii="Times New Roman" w:eastAsiaTheme="minorHAnsi" w:hAnsi="Times New Roman"/>
                <w:sz w:val="18"/>
                <w:szCs w:val="18"/>
              </w:rPr>
              <w:t>: 3403 mājsaimniecības (kopā)</w:t>
            </w:r>
          </w:p>
          <w:p w14:paraId="0B16B7F4" w14:textId="77777777" w:rsidR="00422BD6" w:rsidRPr="00422BD6" w:rsidRDefault="00422BD6" w:rsidP="00422BD6">
            <w:pPr>
              <w:spacing w:after="0" w:line="240" w:lineRule="auto"/>
              <w:jc w:val="both"/>
              <w:rPr>
                <w:rFonts w:ascii="Times New Roman" w:eastAsiaTheme="minorHAnsi" w:hAnsi="Times New Roman"/>
                <w:i/>
                <w:sz w:val="18"/>
                <w:szCs w:val="18"/>
              </w:rPr>
            </w:pPr>
            <w:r w:rsidRPr="00422BD6">
              <w:rPr>
                <w:rFonts w:ascii="Times New Roman" w:eastAsiaTheme="minorHAnsi" w:hAnsi="Times New Roman"/>
                <w:i/>
                <w:sz w:val="18"/>
                <w:szCs w:val="18"/>
              </w:rPr>
              <w:t>Apjoms, kas sasniedzams par EK 2021.gada piešķīrumu:</w:t>
            </w:r>
          </w:p>
          <w:p w14:paraId="019BAFFC" w14:textId="77777777" w:rsidR="00422BD6" w:rsidRPr="00422BD6" w:rsidRDefault="00422BD6" w:rsidP="00422BD6">
            <w:pPr>
              <w:spacing w:after="0" w:line="240" w:lineRule="auto"/>
              <w:jc w:val="both"/>
              <w:rPr>
                <w:rFonts w:ascii="Times New Roman" w:eastAsiaTheme="minorHAnsi" w:hAnsi="Times New Roman"/>
                <w:sz w:val="18"/>
                <w:szCs w:val="18"/>
              </w:rPr>
            </w:pPr>
            <w:r w:rsidRPr="00422BD6">
              <w:rPr>
                <w:rFonts w:ascii="Times New Roman" w:eastAsiaTheme="minorHAnsi" w:hAnsi="Times New Roman"/>
                <w:sz w:val="18"/>
                <w:szCs w:val="18"/>
              </w:rPr>
              <w:t xml:space="preserve">2627 mājsaimniecības </w:t>
            </w:r>
          </w:p>
          <w:p w14:paraId="4CBB0DB2" w14:textId="77777777" w:rsidR="00422BD6" w:rsidRPr="00422BD6" w:rsidRDefault="00422BD6" w:rsidP="00422BD6">
            <w:pPr>
              <w:spacing w:after="0" w:line="240" w:lineRule="auto"/>
              <w:jc w:val="both"/>
              <w:rPr>
                <w:rFonts w:ascii="Times New Roman" w:eastAsiaTheme="minorHAnsi" w:hAnsi="Times New Roman"/>
                <w:sz w:val="18"/>
                <w:szCs w:val="18"/>
              </w:rPr>
            </w:pPr>
          </w:p>
          <w:p w14:paraId="3F093384" w14:textId="36D0828E" w:rsidR="00422BD6" w:rsidRPr="00422BD6" w:rsidRDefault="00422BD6" w:rsidP="00422BD6">
            <w:pPr>
              <w:spacing w:after="0" w:line="240" w:lineRule="auto"/>
              <w:jc w:val="both"/>
              <w:rPr>
                <w:rFonts w:ascii="Times New Roman" w:eastAsiaTheme="minorHAnsi" w:hAnsi="Times New Roman"/>
                <w:i/>
                <w:sz w:val="18"/>
                <w:szCs w:val="18"/>
              </w:rPr>
            </w:pPr>
            <w:r w:rsidRPr="00422BD6">
              <w:rPr>
                <w:rFonts w:ascii="Times New Roman" w:eastAsiaTheme="minorHAnsi" w:hAnsi="Times New Roman"/>
                <w:i/>
                <w:sz w:val="18"/>
                <w:szCs w:val="18"/>
              </w:rPr>
              <w:t>Apjoms, kas sasniedzams par EK 2022.gada piešķīrumu:</w:t>
            </w:r>
          </w:p>
          <w:p w14:paraId="5F0A29B1" w14:textId="77777777" w:rsidR="00422BD6" w:rsidRPr="00422BD6" w:rsidRDefault="00422BD6" w:rsidP="00422BD6">
            <w:pPr>
              <w:spacing w:after="0" w:line="240" w:lineRule="auto"/>
              <w:jc w:val="both"/>
              <w:rPr>
                <w:rFonts w:ascii="Times New Roman" w:eastAsiaTheme="minorHAnsi" w:hAnsi="Times New Roman"/>
                <w:sz w:val="18"/>
                <w:szCs w:val="18"/>
              </w:rPr>
            </w:pPr>
            <w:r w:rsidRPr="00422BD6">
              <w:rPr>
                <w:rFonts w:ascii="Times New Roman" w:eastAsiaTheme="minorHAnsi" w:hAnsi="Times New Roman"/>
                <w:sz w:val="18"/>
                <w:szCs w:val="18"/>
              </w:rPr>
              <w:t xml:space="preserve">776 mājsaimniecības </w:t>
            </w:r>
          </w:p>
          <w:p w14:paraId="513360B8" w14:textId="77777777" w:rsidR="00422BD6" w:rsidRPr="00702641" w:rsidRDefault="00422BD6" w:rsidP="00702641">
            <w:pPr>
              <w:spacing w:after="0" w:line="240" w:lineRule="auto"/>
              <w:jc w:val="both"/>
              <w:rPr>
                <w:rFonts w:ascii="Times New Roman" w:eastAsiaTheme="minorHAnsi" w:hAnsi="Times New Roman"/>
                <w:sz w:val="18"/>
                <w:szCs w:val="18"/>
              </w:rPr>
            </w:pPr>
          </w:p>
          <w:p w14:paraId="2EE8C05D" w14:textId="77777777" w:rsidR="00702641" w:rsidRPr="00702641" w:rsidRDefault="00702641" w:rsidP="00702641">
            <w:pPr>
              <w:spacing w:after="0" w:line="240" w:lineRule="auto"/>
              <w:jc w:val="both"/>
              <w:rPr>
                <w:rFonts w:ascii="Times New Roman" w:eastAsiaTheme="minorHAnsi" w:hAnsi="Times New Roman"/>
                <w:sz w:val="18"/>
                <w:szCs w:val="18"/>
              </w:rPr>
            </w:pPr>
          </w:p>
          <w:p w14:paraId="32288607" w14:textId="77777777" w:rsidR="00702641" w:rsidRPr="00702641" w:rsidRDefault="00702641" w:rsidP="00702641">
            <w:pPr>
              <w:spacing w:after="0" w:line="240" w:lineRule="auto"/>
              <w:jc w:val="both"/>
              <w:rPr>
                <w:rFonts w:ascii="Times New Roman" w:eastAsiaTheme="minorHAnsi" w:hAnsi="Times New Roman"/>
                <w:sz w:val="18"/>
                <w:szCs w:val="18"/>
              </w:rPr>
            </w:pPr>
            <w:r w:rsidRPr="00702641">
              <w:rPr>
                <w:rFonts w:ascii="Times New Roman" w:eastAsiaTheme="minorHAnsi" w:hAnsi="Times New Roman"/>
                <w:i/>
                <w:sz w:val="18"/>
                <w:szCs w:val="18"/>
              </w:rPr>
              <w:t>Mērķa vērtības noteikšanas principi/metodoloģija</w:t>
            </w:r>
            <w:r w:rsidRPr="00702641">
              <w:rPr>
                <w:rFonts w:ascii="Times New Roman" w:eastAsiaTheme="minorHAnsi" w:hAnsi="Times New Roman"/>
                <w:sz w:val="18"/>
                <w:szCs w:val="18"/>
              </w:rPr>
              <w:t xml:space="preserve">: </w:t>
            </w:r>
          </w:p>
          <w:p w14:paraId="57AA9701" w14:textId="2552C5F9" w:rsidR="00702641" w:rsidRPr="00702641" w:rsidRDefault="00356720" w:rsidP="00702641">
            <w:pPr>
              <w:spacing w:after="0" w:line="240" w:lineRule="auto"/>
              <w:jc w:val="both"/>
              <w:rPr>
                <w:rFonts w:ascii="Times New Roman" w:eastAsiaTheme="minorHAnsi" w:hAnsi="Times New Roman"/>
                <w:sz w:val="18"/>
                <w:szCs w:val="18"/>
              </w:rPr>
            </w:pPr>
            <w:r w:rsidRPr="00702641">
              <w:rPr>
                <w:rFonts w:ascii="Times New Roman" w:hAnsi="Times New Roman"/>
                <w:sz w:val="18"/>
                <w:szCs w:val="18"/>
              </w:rPr>
              <w:t>Rādītājs veidojas ņemot vērā programm</w:t>
            </w:r>
            <w:r>
              <w:rPr>
                <w:rFonts w:ascii="Times New Roman" w:hAnsi="Times New Roman"/>
                <w:sz w:val="18"/>
                <w:szCs w:val="18"/>
              </w:rPr>
              <w:t>ai</w:t>
            </w:r>
            <w:r w:rsidRPr="00702641">
              <w:rPr>
                <w:rFonts w:ascii="Times New Roman" w:hAnsi="Times New Roman"/>
                <w:sz w:val="18"/>
                <w:szCs w:val="18"/>
              </w:rPr>
              <w:t xml:space="preserve"> piešķirto </w:t>
            </w:r>
            <w:r w:rsidRPr="00F020A6">
              <w:rPr>
                <w:rFonts w:ascii="Times New Roman" w:hAnsi="Times New Roman"/>
                <w:sz w:val="18"/>
                <w:szCs w:val="18"/>
              </w:rPr>
              <w:t>35 milj.</w:t>
            </w:r>
            <w:r w:rsidRPr="00702641">
              <w:rPr>
                <w:rFonts w:ascii="Times New Roman" w:hAnsi="Times New Roman"/>
                <w:sz w:val="18"/>
                <w:szCs w:val="18"/>
              </w:rPr>
              <w:t xml:space="preserve"> EUR finansējumu</w:t>
            </w:r>
            <w:r>
              <w:rPr>
                <w:rFonts w:ascii="Times New Roman" w:hAnsi="Times New Roman"/>
                <w:sz w:val="18"/>
                <w:szCs w:val="18"/>
              </w:rPr>
              <w:t xml:space="preserve"> un </w:t>
            </w:r>
            <w:r w:rsidRPr="00702641">
              <w:rPr>
                <w:rFonts w:ascii="Times New Roman" w:hAnsi="Times New Roman"/>
                <w:sz w:val="18"/>
                <w:szCs w:val="18"/>
              </w:rPr>
              <w:t>vidējo</w:t>
            </w:r>
            <w:r>
              <w:rPr>
                <w:rFonts w:ascii="Times New Roman" w:hAnsi="Times New Roman"/>
                <w:sz w:val="18"/>
                <w:szCs w:val="18"/>
              </w:rPr>
              <w:t xml:space="preserve"> mājsaimniecību skaitu iepriekš atbalstītajos</w:t>
            </w:r>
            <w:r w:rsidRPr="00702641">
              <w:rPr>
                <w:rFonts w:ascii="Times New Roman" w:hAnsi="Times New Roman"/>
                <w:sz w:val="18"/>
                <w:szCs w:val="18"/>
              </w:rPr>
              <w:t xml:space="preserve"> </w:t>
            </w:r>
            <w:r>
              <w:rPr>
                <w:rFonts w:ascii="Times New Roman" w:hAnsi="Times New Roman"/>
                <w:sz w:val="18"/>
                <w:szCs w:val="18"/>
              </w:rPr>
              <w:t>projektos.</w:t>
            </w:r>
            <w:r w:rsidR="00702641" w:rsidRPr="00702641">
              <w:rPr>
                <w:rFonts w:ascii="Times New Roman" w:eastAsiaTheme="minorHAnsi" w:hAnsi="Times New Roman"/>
                <w:sz w:val="18"/>
                <w:szCs w:val="18"/>
              </w:rPr>
              <w:t xml:space="preserve"> </w:t>
            </w:r>
          </w:p>
          <w:p w14:paraId="466FE0BF" w14:textId="77777777" w:rsidR="00702641" w:rsidRPr="00702641" w:rsidRDefault="00702641" w:rsidP="00702641">
            <w:pPr>
              <w:spacing w:after="0" w:line="240" w:lineRule="auto"/>
              <w:jc w:val="both"/>
              <w:rPr>
                <w:rFonts w:ascii="Times New Roman" w:eastAsiaTheme="minorHAnsi" w:hAnsi="Times New Roman"/>
                <w:sz w:val="18"/>
                <w:szCs w:val="18"/>
              </w:rPr>
            </w:pPr>
          </w:p>
          <w:p w14:paraId="28A3A89D" w14:textId="223C5DBF" w:rsidR="00702641" w:rsidRPr="00702641" w:rsidRDefault="00702641" w:rsidP="00702641">
            <w:pPr>
              <w:spacing w:after="0" w:line="240" w:lineRule="auto"/>
              <w:jc w:val="both"/>
              <w:rPr>
                <w:rFonts w:ascii="Times New Roman" w:eastAsiaTheme="minorHAnsi" w:hAnsi="Times New Roman"/>
                <w:sz w:val="18"/>
                <w:szCs w:val="18"/>
              </w:rPr>
            </w:pPr>
            <w:r w:rsidRPr="00702641">
              <w:rPr>
                <w:rFonts w:ascii="Times New Roman" w:eastAsiaTheme="minorHAnsi" w:hAnsi="Times New Roman"/>
                <w:i/>
                <w:sz w:val="18"/>
                <w:szCs w:val="18"/>
              </w:rPr>
              <w:t>Iznākuma rādītājam sasniegšanai paredzētais finansējums:</w:t>
            </w:r>
            <w:r w:rsidR="002640C5">
              <w:rPr>
                <w:rFonts w:ascii="Times New Roman" w:eastAsiaTheme="minorHAnsi" w:hAnsi="Times New Roman"/>
                <w:i/>
                <w:sz w:val="18"/>
                <w:szCs w:val="18"/>
              </w:rPr>
              <w:t xml:space="preserve"> </w:t>
            </w:r>
            <w:r w:rsidRPr="00702641">
              <w:rPr>
                <w:rFonts w:ascii="Times New Roman" w:eastAsiaTheme="minorHAnsi" w:hAnsi="Times New Roman"/>
                <w:sz w:val="18"/>
                <w:szCs w:val="18"/>
              </w:rPr>
              <w:t>35 000 001 EUR (REACT-EU ERAF + līdzfinansējums)</w:t>
            </w:r>
          </w:p>
          <w:p w14:paraId="2988529F" w14:textId="77777777" w:rsidR="00702641" w:rsidRPr="00702641" w:rsidRDefault="00702641" w:rsidP="00702641">
            <w:pPr>
              <w:spacing w:after="0" w:line="240" w:lineRule="auto"/>
              <w:jc w:val="both"/>
              <w:rPr>
                <w:rFonts w:ascii="Times New Roman" w:eastAsiaTheme="minorHAnsi" w:hAnsi="Times New Roman"/>
                <w:sz w:val="18"/>
                <w:szCs w:val="18"/>
              </w:rPr>
            </w:pPr>
          </w:p>
          <w:p w14:paraId="56CB6B39" w14:textId="39E864C9" w:rsidR="00702641" w:rsidRDefault="00702641" w:rsidP="00702641">
            <w:pPr>
              <w:spacing w:after="0" w:line="240" w:lineRule="auto"/>
              <w:jc w:val="both"/>
              <w:rPr>
                <w:rFonts w:ascii="Times New Roman" w:hAnsi="Times New Roman"/>
                <w:iCs/>
                <w:sz w:val="18"/>
                <w:szCs w:val="18"/>
              </w:rPr>
            </w:pPr>
            <w:r w:rsidRPr="00702641">
              <w:rPr>
                <w:rFonts w:ascii="Times New Roman" w:hAnsi="Times New Roman"/>
                <w:i/>
                <w:sz w:val="18"/>
                <w:szCs w:val="18"/>
              </w:rPr>
              <w:t>Darbības līmenis:</w:t>
            </w:r>
            <w:r w:rsidR="002640C5">
              <w:rPr>
                <w:rFonts w:ascii="Times New Roman" w:hAnsi="Times New Roman"/>
                <w:i/>
                <w:sz w:val="18"/>
                <w:szCs w:val="18"/>
              </w:rPr>
              <w:t xml:space="preserve"> </w:t>
            </w:r>
            <w:r w:rsidRPr="00702641">
              <w:rPr>
                <w:rFonts w:ascii="Times New Roman" w:hAnsi="Times New Roman"/>
                <w:iCs/>
                <w:sz w:val="18"/>
                <w:szCs w:val="18"/>
              </w:rPr>
              <w:t>n/a</w:t>
            </w:r>
          </w:p>
          <w:p w14:paraId="236F3E06" w14:textId="77777777" w:rsidR="00422BD6" w:rsidRDefault="00422BD6" w:rsidP="00702641">
            <w:pPr>
              <w:spacing w:after="0" w:line="240" w:lineRule="auto"/>
              <w:jc w:val="both"/>
              <w:rPr>
                <w:rFonts w:ascii="Times New Roman" w:hAnsi="Times New Roman"/>
                <w:iCs/>
                <w:sz w:val="18"/>
                <w:szCs w:val="18"/>
              </w:rPr>
            </w:pPr>
          </w:p>
          <w:p w14:paraId="2FD443D6" w14:textId="77777777" w:rsidR="00422BD6" w:rsidRPr="00422BD6" w:rsidRDefault="00422BD6" w:rsidP="00422BD6">
            <w:pPr>
              <w:spacing w:after="0" w:line="240" w:lineRule="auto"/>
              <w:jc w:val="both"/>
              <w:rPr>
                <w:rFonts w:ascii="Times New Roman" w:hAnsi="Times New Roman"/>
                <w:i/>
                <w:sz w:val="18"/>
                <w:szCs w:val="18"/>
              </w:rPr>
            </w:pPr>
            <w:r w:rsidRPr="00422BD6">
              <w:rPr>
                <w:rFonts w:ascii="Times New Roman" w:hAnsi="Times New Roman"/>
                <w:i/>
                <w:sz w:val="18"/>
                <w:szCs w:val="18"/>
              </w:rPr>
              <w:t>Darbība, kas liek uzskatīt mērķa vērtību par izpildītu:</w:t>
            </w:r>
          </w:p>
          <w:p w14:paraId="7D3B4653" w14:textId="77777777" w:rsidR="00422BD6" w:rsidRDefault="00422BD6" w:rsidP="00422BD6">
            <w:pPr>
              <w:spacing w:after="0" w:line="240" w:lineRule="auto"/>
              <w:jc w:val="both"/>
              <w:rPr>
                <w:rFonts w:ascii="Times New Roman" w:eastAsiaTheme="minorHAnsi" w:hAnsi="Times New Roman"/>
                <w:sz w:val="18"/>
                <w:szCs w:val="18"/>
              </w:rPr>
            </w:pPr>
            <w:r w:rsidRPr="00422BD6">
              <w:rPr>
                <w:rFonts w:ascii="Times New Roman" w:eastAsiaTheme="minorHAnsi" w:hAnsi="Times New Roman"/>
                <w:sz w:val="18"/>
                <w:szCs w:val="18"/>
              </w:rPr>
              <w:t>Pabeigta daudzdzīvokļu māju renovācija (energoefektivitātes uzlabošanas pasākumi).</w:t>
            </w:r>
          </w:p>
          <w:p w14:paraId="129C8E6B" w14:textId="77777777" w:rsidR="00422BD6" w:rsidRPr="00702641" w:rsidRDefault="00422BD6" w:rsidP="00702641">
            <w:pPr>
              <w:spacing w:after="0" w:line="240" w:lineRule="auto"/>
              <w:jc w:val="both"/>
              <w:rPr>
                <w:rFonts w:ascii="Times New Roman" w:hAnsi="Times New Roman"/>
                <w:iCs/>
                <w:sz w:val="18"/>
                <w:szCs w:val="18"/>
              </w:rPr>
            </w:pPr>
          </w:p>
          <w:p w14:paraId="112631BE" w14:textId="2031FFD0" w:rsidR="0033207E" w:rsidRPr="00702641" w:rsidRDefault="0033207E" w:rsidP="002640C5">
            <w:pPr>
              <w:spacing w:after="0" w:line="240" w:lineRule="auto"/>
              <w:jc w:val="both"/>
              <w:rPr>
                <w:rFonts w:ascii="Times New Roman" w:eastAsiaTheme="minorHAnsi" w:hAnsi="Times New Roman"/>
                <w:sz w:val="18"/>
                <w:szCs w:val="18"/>
              </w:rPr>
            </w:pPr>
          </w:p>
        </w:tc>
      </w:tr>
    </w:tbl>
    <w:p w14:paraId="4EA70C90" w14:textId="3541D54E" w:rsidR="00FA549B" w:rsidRPr="00DE29CC" w:rsidRDefault="00FA549B">
      <w:pPr>
        <w:rPr>
          <w:rFonts w:ascii="Times New Roman" w:hAnsi="Times New Roman"/>
          <w:sz w:val="18"/>
          <w:szCs w:val="18"/>
        </w:rPr>
      </w:pPr>
    </w:p>
    <w:sectPr w:rsidR="00FA549B" w:rsidRPr="00DE29CC" w:rsidSect="00D45D98">
      <w:headerReference w:type="default" r:id="rId8"/>
      <w:footerReference w:type="default" r:id="rId9"/>
      <w:pgSz w:w="16838" w:h="11906" w:orient="landscape"/>
      <w:pgMar w:top="426"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60C84" w14:textId="77777777" w:rsidR="00510BDB" w:rsidRDefault="00510BDB" w:rsidP="00D45D98">
      <w:pPr>
        <w:spacing w:after="0" w:line="240" w:lineRule="auto"/>
      </w:pPr>
      <w:r>
        <w:separator/>
      </w:r>
    </w:p>
  </w:endnote>
  <w:endnote w:type="continuationSeparator" w:id="0">
    <w:p w14:paraId="7F75F198" w14:textId="77777777" w:rsidR="00510BDB" w:rsidRDefault="00510BDB" w:rsidP="00D45D98">
      <w:pPr>
        <w:spacing w:after="0" w:line="240" w:lineRule="auto"/>
      </w:pPr>
      <w:r>
        <w:continuationSeparator/>
      </w:r>
    </w:p>
  </w:endnote>
  <w:endnote w:type="continuationNotice" w:id="1">
    <w:p w14:paraId="3A6A504A" w14:textId="77777777" w:rsidR="00510BDB" w:rsidRDefault="00510B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0CEEB" w14:textId="77777777" w:rsidR="009E56A4" w:rsidRDefault="009E5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509A0" w14:textId="77777777" w:rsidR="00510BDB" w:rsidRDefault="00510BDB" w:rsidP="00D45D98">
      <w:pPr>
        <w:spacing w:after="0" w:line="240" w:lineRule="auto"/>
      </w:pPr>
      <w:r>
        <w:separator/>
      </w:r>
    </w:p>
  </w:footnote>
  <w:footnote w:type="continuationSeparator" w:id="0">
    <w:p w14:paraId="0356B3E0" w14:textId="77777777" w:rsidR="00510BDB" w:rsidRDefault="00510BDB" w:rsidP="00D45D98">
      <w:pPr>
        <w:spacing w:after="0" w:line="240" w:lineRule="auto"/>
      </w:pPr>
      <w:r>
        <w:continuationSeparator/>
      </w:r>
    </w:p>
  </w:footnote>
  <w:footnote w:type="continuationNotice" w:id="1">
    <w:p w14:paraId="06BB2277" w14:textId="77777777" w:rsidR="00510BDB" w:rsidRDefault="00510BDB">
      <w:pPr>
        <w:spacing w:after="0" w:line="240" w:lineRule="auto"/>
      </w:pPr>
    </w:p>
  </w:footnote>
  <w:footnote w:id="2">
    <w:p w14:paraId="34897A62" w14:textId="77777777" w:rsidR="00DE4A2D" w:rsidRDefault="00DE4A2D" w:rsidP="00DE4A2D">
      <w:pPr>
        <w:pStyle w:val="FootnoteText"/>
        <w:jc w:val="both"/>
        <w:rPr>
          <w:rFonts w:ascii="Times New Roman" w:hAnsi="Times New Roman"/>
          <w:sz w:val="18"/>
          <w:szCs w:val="18"/>
          <w:lang w:eastAsia="x-none"/>
        </w:rPr>
      </w:pPr>
      <w:r>
        <w:rPr>
          <w:rStyle w:val="FootnoteReference"/>
          <w:rFonts w:ascii="Times New Roman" w:hAnsi="Times New Roman"/>
          <w:sz w:val="18"/>
          <w:szCs w:val="18"/>
        </w:rPr>
        <w:footnoteRef/>
      </w:r>
      <w:r>
        <w:rPr>
          <w:rFonts w:ascii="Times New Roman" w:hAnsi="Times New Roman"/>
          <w:sz w:val="18"/>
          <w:szCs w:val="18"/>
        </w:rPr>
        <w:t xml:space="preserve"> Nav nepieciešama definīcija ja izmantots kopējais rādītājs (lietot precīzus rādītāja nosaukumus), izņemot tos kopējos rādītājus, kuriem definīcijas atrunājamas nacionālā līmenī (piem. aizsargātās grupas). Rādītāja definīcija noteikta Eiropas Komisijas vadlīniju “Guidance document on Monitoring and Evaluation” 1.pielikumā; pieejamas </w:t>
      </w:r>
      <w:hyperlink r:id="rId1" w:history="1">
        <w:r>
          <w:rPr>
            <w:rStyle w:val="Hyperlink"/>
            <w:rFonts w:ascii="Times New Roman" w:hAnsi="Times New Roman"/>
            <w:sz w:val="18"/>
            <w:szCs w:val="18"/>
          </w:rPr>
          <w:t>http://ec.europa.eu/regional_policy/sources/docoffic/2014/working/wd_2014_en.pdf</w:t>
        </w:r>
      </w:hyperlink>
    </w:p>
  </w:footnote>
  <w:footnote w:id="3">
    <w:p w14:paraId="1928D1A1" w14:textId="77777777" w:rsidR="00DE4A2D" w:rsidRDefault="00DE4A2D" w:rsidP="00DE4A2D">
      <w:pPr>
        <w:pStyle w:val="FootnoteText"/>
        <w:rPr>
          <w:rFonts w:ascii="Times New Roman" w:hAnsi="Times New Roman"/>
          <w:sz w:val="18"/>
          <w:szCs w:val="18"/>
          <w:lang w:val="x-none"/>
        </w:rPr>
      </w:pPr>
      <w:r>
        <w:rPr>
          <w:rStyle w:val="FootnoteReference"/>
          <w:rFonts w:ascii="Times New Roman" w:hAnsi="Times New Roman"/>
          <w:sz w:val="18"/>
          <w:szCs w:val="18"/>
        </w:rPr>
        <w:footnoteRef/>
      </w:r>
      <w:r>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7821E" w14:textId="77777777" w:rsidR="009E56A4" w:rsidRDefault="009E5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365E"/>
    <w:multiLevelType w:val="hybridMultilevel"/>
    <w:tmpl w:val="FF60BD4C"/>
    <w:lvl w:ilvl="0" w:tplc="9D5E88E6">
      <w:start w:val="1"/>
      <w:numFmt w:val="bullet"/>
      <w:lvlText w:val=""/>
      <w:lvlJc w:val="left"/>
      <w:pPr>
        <w:ind w:left="360" w:hanging="360"/>
      </w:pPr>
      <w:rPr>
        <w:rFonts w:ascii="Symbol" w:hAnsi="Symbol" w:hint="default"/>
      </w:rPr>
    </w:lvl>
    <w:lvl w:ilvl="1" w:tplc="627814F2">
      <w:start w:val="1"/>
      <w:numFmt w:val="bullet"/>
      <w:lvlText w:val="o"/>
      <w:lvlJc w:val="left"/>
      <w:pPr>
        <w:ind w:left="1080" w:hanging="360"/>
      </w:pPr>
      <w:rPr>
        <w:rFonts w:ascii="Courier New" w:hAnsi="Courier New" w:cs="Times New Roman" w:hint="default"/>
      </w:rPr>
    </w:lvl>
    <w:lvl w:ilvl="2" w:tplc="F5F0B832">
      <w:start w:val="1"/>
      <w:numFmt w:val="bullet"/>
      <w:lvlText w:val=""/>
      <w:lvlJc w:val="left"/>
      <w:pPr>
        <w:ind w:left="1800" w:hanging="360"/>
      </w:pPr>
      <w:rPr>
        <w:rFonts w:ascii="Wingdings" w:hAnsi="Wingdings" w:hint="default"/>
      </w:rPr>
    </w:lvl>
    <w:lvl w:ilvl="3" w:tplc="F2C28BD4">
      <w:start w:val="1"/>
      <w:numFmt w:val="bullet"/>
      <w:lvlText w:val=""/>
      <w:lvlJc w:val="left"/>
      <w:pPr>
        <w:ind w:left="2520" w:hanging="360"/>
      </w:pPr>
      <w:rPr>
        <w:rFonts w:ascii="Symbol" w:hAnsi="Symbol" w:hint="default"/>
      </w:rPr>
    </w:lvl>
    <w:lvl w:ilvl="4" w:tplc="DBBC52FA">
      <w:start w:val="1"/>
      <w:numFmt w:val="bullet"/>
      <w:lvlText w:val="o"/>
      <w:lvlJc w:val="left"/>
      <w:pPr>
        <w:ind w:left="3240" w:hanging="360"/>
      </w:pPr>
      <w:rPr>
        <w:rFonts w:ascii="Courier New" w:hAnsi="Courier New" w:cs="Times New Roman" w:hint="default"/>
      </w:rPr>
    </w:lvl>
    <w:lvl w:ilvl="5" w:tplc="A56EF098">
      <w:start w:val="1"/>
      <w:numFmt w:val="bullet"/>
      <w:lvlText w:val=""/>
      <w:lvlJc w:val="left"/>
      <w:pPr>
        <w:ind w:left="3960" w:hanging="360"/>
      </w:pPr>
      <w:rPr>
        <w:rFonts w:ascii="Wingdings" w:hAnsi="Wingdings" w:hint="default"/>
      </w:rPr>
    </w:lvl>
    <w:lvl w:ilvl="6" w:tplc="7B76C9DA">
      <w:start w:val="1"/>
      <w:numFmt w:val="bullet"/>
      <w:lvlText w:val=""/>
      <w:lvlJc w:val="left"/>
      <w:pPr>
        <w:ind w:left="4680" w:hanging="360"/>
      </w:pPr>
      <w:rPr>
        <w:rFonts w:ascii="Symbol" w:hAnsi="Symbol" w:hint="default"/>
      </w:rPr>
    </w:lvl>
    <w:lvl w:ilvl="7" w:tplc="6C3A55D4">
      <w:start w:val="1"/>
      <w:numFmt w:val="bullet"/>
      <w:lvlText w:val="o"/>
      <w:lvlJc w:val="left"/>
      <w:pPr>
        <w:ind w:left="5400" w:hanging="360"/>
      </w:pPr>
      <w:rPr>
        <w:rFonts w:ascii="Courier New" w:hAnsi="Courier New" w:cs="Times New Roman" w:hint="default"/>
      </w:rPr>
    </w:lvl>
    <w:lvl w:ilvl="8" w:tplc="0AF6C53A">
      <w:start w:val="1"/>
      <w:numFmt w:val="bullet"/>
      <w:lvlText w:val=""/>
      <w:lvlJc w:val="left"/>
      <w:pPr>
        <w:ind w:left="6120" w:hanging="360"/>
      </w:pPr>
      <w:rPr>
        <w:rFonts w:ascii="Wingdings" w:hAnsi="Wingdings" w:hint="default"/>
      </w:rPr>
    </w:lvl>
  </w:abstractNum>
  <w:abstractNum w:abstractNumId="1" w15:restartNumberingAfterBreak="0">
    <w:nsid w:val="14DE2DD5"/>
    <w:multiLevelType w:val="hybridMultilevel"/>
    <w:tmpl w:val="F58C874A"/>
    <w:lvl w:ilvl="0" w:tplc="67E2CD3C">
      <w:start w:val="1"/>
      <w:numFmt w:val="decimal"/>
      <w:lvlText w:val="%1)"/>
      <w:lvlJc w:val="left"/>
      <w:pPr>
        <w:ind w:left="720" w:hanging="360"/>
      </w:pPr>
      <w:rPr>
        <w:rFonts w:asciiTheme="minorHAnsi" w:eastAsiaTheme="minorHAnsi" w:hAnsiTheme="minorHAnsi" w:cstheme="minorBidi" w:hint="default"/>
        <w:i w:val="0"/>
        <w:sz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1F720309"/>
    <w:multiLevelType w:val="hybridMultilevel"/>
    <w:tmpl w:val="20BC2E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9A350E1"/>
    <w:multiLevelType w:val="hybridMultilevel"/>
    <w:tmpl w:val="29B45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D7E509A"/>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95D390B"/>
    <w:multiLevelType w:val="hybridMultilevel"/>
    <w:tmpl w:val="3D8ECD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1E208D8"/>
    <w:multiLevelType w:val="hybridMultilevel"/>
    <w:tmpl w:val="50F06D08"/>
    <w:lvl w:ilvl="0" w:tplc="0046E3D8">
      <w:numFmt w:val="bullet"/>
      <w:lvlText w:val=""/>
      <w:lvlJc w:val="left"/>
      <w:pPr>
        <w:ind w:left="720" w:hanging="360"/>
      </w:pPr>
      <w:rPr>
        <w:rFonts w:ascii="Symbol" w:eastAsia="Calibri" w:hAnsi="Symbol"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6ACA230E"/>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001418"/>
    <w:multiLevelType w:val="hybridMultilevel"/>
    <w:tmpl w:val="0596A0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1AE0181"/>
    <w:multiLevelType w:val="multilevel"/>
    <w:tmpl w:val="E4C8858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lowerLetter"/>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16cid:durableId="1425226980">
    <w:abstractNumId w:val="5"/>
  </w:num>
  <w:num w:numId="2" w16cid:durableId="692875499">
    <w:abstractNumId w:val="3"/>
  </w:num>
  <w:num w:numId="3" w16cid:durableId="153495314">
    <w:abstractNumId w:val="8"/>
  </w:num>
  <w:num w:numId="4" w16cid:durableId="1108890550">
    <w:abstractNumId w:val="7"/>
  </w:num>
  <w:num w:numId="5" w16cid:durableId="918490305">
    <w:abstractNumId w:val="4"/>
  </w:num>
  <w:num w:numId="6" w16cid:durableId="18155589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622005">
    <w:abstractNumId w:val="6"/>
  </w:num>
  <w:num w:numId="8" w16cid:durableId="1076896069">
    <w:abstractNumId w:val="0"/>
  </w:num>
  <w:num w:numId="9" w16cid:durableId="5114549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82423130">
    <w:abstractNumId w:val="1"/>
  </w:num>
  <w:num w:numId="11" w16cid:durableId="2004772142">
    <w:abstractNumId w:val="2"/>
  </w:num>
  <w:num w:numId="12" w16cid:durableId="19039807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8"/>
    <w:rsid w:val="00005E7B"/>
    <w:rsid w:val="00006866"/>
    <w:rsid w:val="0000787F"/>
    <w:rsid w:val="000154F5"/>
    <w:rsid w:val="00023607"/>
    <w:rsid w:val="00024FD8"/>
    <w:rsid w:val="0003451E"/>
    <w:rsid w:val="000353D6"/>
    <w:rsid w:val="0004502F"/>
    <w:rsid w:val="000466AC"/>
    <w:rsid w:val="00050158"/>
    <w:rsid w:val="000560FD"/>
    <w:rsid w:val="0005610A"/>
    <w:rsid w:val="00062623"/>
    <w:rsid w:val="00063279"/>
    <w:rsid w:val="0006521D"/>
    <w:rsid w:val="00065E5A"/>
    <w:rsid w:val="00066A3E"/>
    <w:rsid w:val="00067C61"/>
    <w:rsid w:val="00077215"/>
    <w:rsid w:val="000846A2"/>
    <w:rsid w:val="000931E6"/>
    <w:rsid w:val="00094271"/>
    <w:rsid w:val="00094E07"/>
    <w:rsid w:val="00096D8B"/>
    <w:rsid w:val="000A37B8"/>
    <w:rsid w:val="000B5438"/>
    <w:rsid w:val="000C1B42"/>
    <w:rsid w:val="000D21E4"/>
    <w:rsid w:val="000D525C"/>
    <w:rsid w:val="000D7747"/>
    <w:rsid w:val="000E430C"/>
    <w:rsid w:val="000F1DC1"/>
    <w:rsid w:val="000F39C3"/>
    <w:rsid w:val="000F6E50"/>
    <w:rsid w:val="001007E1"/>
    <w:rsid w:val="001008DA"/>
    <w:rsid w:val="00104A11"/>
    <w:rsid w:val="00106EE4"/>
    <w:rsid w:val="00111193"/>
    <w:rsid w:val="0012061E"/>
    <w:rsid w:val="001246FD"/>
    <w:rsid w:val="00127D03"/>
    <w:rsid w:val="00145187"/>
    <w:rsid w:val="00145E5D"/>
    <w:rsid w:val="001461D0"/>
    <w:rsid w:val="001465F4"/>
    <w:rsid w:val="001502E9"/>
    <w:rsid w:val="00163D14"/>
    <w:rsid w:val="00166514"/>
    <w:rsid w:val="0017076D"/>
    <w:rsid w:val="0017342A"/>
    <w:rsid w:val="00176E9C"/>
    <w:rsid w:val="00181090"/>
    <w:rsid w:val="00181900"/>
    <w:rsid w:val="00185A67"/>
    <w:rsid w:val="00191F2E"/>
    <w:rsid w:val="00191FDA"/>
    <w:rsid w:val="00192834"/>
    <w:rsid w:val="00196D18"/>
    <w:rsid w:val="001A6DAE"/>
    <w:rsid w:val="001A753C"/>
    <w:rsid w:val="001A7D70"/>
    <w:rsid w:val="001B03D6"/>
    <w:rsid w:val="001B7EAD"/>
    <w:rsid w:val="001C1713"/>
    <w:rsid w:val="001C2CE8"/>
    <w:rsid w:val="001D1595"/>
    <w:rsid w:val="001D57B1"/>
    <w:rsid w:val="001D6749"/>
    <w:rsid w:val="001D736E"/>
    <w:rsid w:val="001E001D"/>
    <w:rsid w:val="001E26AC"/>
    <w:rsid w:val="001E5026"/>
    <w:rsid w:val="001F3DB9"/>
    <w:rsid w:val="001F5C6D"/>
    <w:rsid w:val="0020674E"/>
    <w:rsid w:val="00221DDC"/>
    <w:rsid w:val="00222200"/>
    <w:rsid w:val="0023560C"/>
    <w:rsid w:val="002464AB"/>
    <w:rsid w:val="00247087"/>
    <w:rsid w:val="00253E35"/>
    <w:rsid w:val="00256647"/>
    <w:rsid w:val="002640C5"/>
    <w:rsid w:val="00271D03"/>
    <w:rsid w:val="00273C2C"/>
    <w:rsid w:val="00275C17"/>
    <w:rsid w:val="00284627"/>
    <w:rsid w:val="002A66D8"/>
    <w:rsid w:val="002A7B3F"/>
    <w:rsid w:val="002A7B96"/>
    <w:rsid w:val="002B0734"/>
    <w:rsid w:val="002C23EE"/>
    <w:rsid w:val="002C4C6F"/>
    <w:rsid w:val="002D0EA4"/>
    <w:rsid w:val="002D38CC"/>
    <w:rsid w:val="002D57D0"/>
    <w:rsid w:val="002D590E"/>
    <w:rsid w:val="002E126D"/>
    <w:rsid w:val="002E136F"/>
    <w:rsid w:val="002E3E70"/>
    <w:rsid w:val="002E3F17"/>
    <w:rsid w:val="002F08B4"/>
    <w:rsid w:val="002F2BF9"/>
    <w:rsid w:val="00306B65"/>
    <w:rsid w:val="00307D84"/>
    <w:rsid w:val="00317761"/>
    <w:rsid w:val="003257A2"/>
    <w:rsid w:val="00327877"/>
    <w:rsid w:val="0033207E"/>
    <w:rsid w:val="00335F74"/>
    <w:rsid w:val="00346BC7"/>
    <w:rsid w:val="0035159E"/>
    <w:rsid w:val="00352E1C"/>
    <w:rsid w:val="00354C84"/>
    <w:rsid w:val="00356720"/>
    <w:rsid w:val="00357C46"/>
    <w:rsid w:val="00367726"/>
    <w:rsid w:val="003869EC"/>
    <w:rsid w:val="0039643D"/>
    <w:rsid w:val="003A2742"/>
    <w:rsid w:val="003A2981"/>
    <w:rsid w:val="003B62BD"/>
    <w:rsid w:val="003C0948"/>
    <w:rsid w:val="003C1BE6"/>
    <w:rsid w:val="003C3043"/>
    <w:rsid w:val="003C561A"/>
    <w:rsid w:val="003D030A"/>
    <w:rsid w:val="003D047B"/>
    <w:rsid w:val="003D35E5"/>
    <w:rsid w:val="003D41E9"/>
    <w:rsid w:val="003D4415"/>
    <w:rsid w:val="003F267D"/>
    <w:rsid w:val="00403132"/>
    <w:rsid w:val="004174DE"/>
    <w:rsid w:val="00417D95"/>
    <w:rsid w:val="00421048"/>
    <w:rsid w:val="00421ADA"/>
    <w:rsid w:val="00422BD6"/>
    <w:rsid w:val="00424864"/>
    <w:rsid w:val="00426A4B"/>
    <w:rsid w:val="00427151"/>
    <w:rsid w:val="00432255"/>
    <w:rsid w:val="00434442"/>
    <w:rsid w:val="00434828"/>
    <w:rsid w:val="0043699F"/>
    <w:rsid w:val="00437CED"/>
    <w:rsid w:val="00441912"/>
    <w:rsid w:val="00454815"/>
    <w:rsid w:val="0046389B"/>
    <w:rsid w:val="00471E0F"/>
    <w:rsid w:val="004727A1"/>
    <w:rsid w:val="00475CF7"/>
    <w:rsid w:val="00477905"/>
    <w:rsid w:val="00484EA0"/>
    <w:rsid w:val="00491399"/>
    <w:rsid w:val="00492397"/>
    <w:rsid w:val="00493172"/>
    <w:rsid w:val="0049525A"/>
    <w:rsid w:val="004969B2"/>
    <w:rsid w:val="00497ADC"/>
    <w:rsid w:val="004A0362"/>
    <w:rsid w:val="004A4546"/>
    <w:rsid w:val="004A7998"/>
    <w:rsid w:val="004B2C05"/>
    <w:rsid w:val="004B50F4"/>
    <w:rsid w:val="004B6A80"/>
    <w:rsid w:val="004C7202"/>
    <w:rsid w:val="004E1B93"/>
    <w:rsid w:val="004E3D6A"/>
    <w:rsid w:val="004F0DFA"/>
    <w:rsid w:val="004F43C2"/>
    <w:rsid w:val="004F5107"/>
    <w:rsid w:val="005012E9"/>
    <w:rsid w:val="00507E95"/>
    <w:rsid w:val="0051039D"/>
    <w:rsid w:val="00510BDB"/>
    <w:rsid w:val="00514003"/>
    <w:rsid w:val="00525F76"/>
    <w:rsid w:val="00532DCD"/>
    <w:rsid w:val="00556201"/>
    <w:rsid w:val="00556F4D"/>
    <w:rsid w:val="005579A4"/>
    <w:rsid w:val="00561C5C"/>
    <w:rsid w:val="00564510"/>
    <w:rsid w:val="00570B16"/>
    <w:rsid w:val="00574B2E"/>
    <w:rsid w:val="00574C19"/>
    <w:rsid w:val="00577E4B"/>
    <w:rsid w:val="0059035D"/>
    <w:rsid w:val="005A149C"/>
    <w:rsid w:val="005A18DF"/>
    <w:rsid w:val="005B60A7"/>
    <w:rsid w:val="005E7CE1"/>
    <w:rsid w:val="005F4853"/>
    <w:rsid w:val="0061086B"/>
    <w:rsid w:val="006159CA"/>
    <w:rsid w:val="00622A94"/>
    <w:rsid w:val="006245A5"/>
    <w:rsid w:val="00630F78"/>
    <w:rsid w:val="00631606"/>
    <w:rsid w:val="0063304F"/>
    <w:rsid w:val="00643986"/>
    <w:rsid w:val="006449E6"/>
    <w:rsid w:val="00653D18"/>
    <w:rsid w:val="006566C7"/>
    <w:rsid w:val="006573B0"/>
    <w:rsid w:val="006671FF"/>
    <w:rsid w:val="00667DA4"/>
    <w:rsid w:val="00671084"/>
    <w:rsid w:val="006720C3"/>
    <w:rsid w:val="00687345"/>
    <w:rsid w:val="006934D9"/>
    <w:rsid w:val="00694C7E"/>
    <w:rsid w:val="006A0502"/>
    <w:rsid w:val="006A0CED"/>
    <w:rsid w:val="006B247C"/>
    <w:rsid w:val="006B401C"/>
    <w:rsid w:val="006B5050"/>
    <w:rsid w:val="006C2F5A"/>
    <w:rsid w:val="006C5ACD"/>
    <w:rsid w:val="006D25C5"/>
    <w:rsid w:val="006D4463"/>
    <w:rsid w:val="006E7046"/>
    <w:rsid w:val="006F00F9"/>
    <w:rsid w:val="006F4C6E"/>
    <w:rsid w:val="0070055A"/>
    <w:rsid w:val="00700C97"/>
    <w:rsid w:val="00702641"/>
    <w:rsid w:val="007033A2"/>
    <w:rsid w:val="00705E8C"/>
    <w:rsid w:val="00707F04"/>
    <w:rsid w:val="007103FE"/>
    <w:rsid w:val="00714617"/>
    <w:rsid w:val="00722AB5"/>
    <w:rsid w:val="00733E9A"/>
    <w:rsid w:val="007360A7"/>
    <w:rsid w:val="007362AA"/>
    <w:rsid w:val="007542D6"/>
    <w:rsid w:val="00755BF2"/>
    <w:rsid w:val="00756543"/>
    <w:rsid w:val="007575E2"/>
    <w:rsid w:val="00761063"/>
    <w:rsid w:val="0076493E"/>
    <w:rsid w:val="00766B7B"/>
    <w:rsid w:val="0077243A"/>
    <w:rsid w:val="007726BD"/>
    <w:rsid w:val="007764A9"/>
    <w:rsid w:val="00776B2C"/>
    <w:rsid w:val="0077754C"/>
    <w:rsid w:val="0079162F"/>
    <w:rsid w:val="007949A3"/>
    <w:rsid w:val="007A0870"/>
    <w:rsid w:val="007A1053"/>
    <w:rsid w:val="007A118F"/>
    <w:rsid w:val="007A25EE"/>
    <w:rsid w:val="007A423B"/>
    <w:rsid w:val="007B1FDC"/>
    <w:rsid w:val="007B276C"/>
    <w:rsid w:val="007B4590"/>
    <w:rsid w:val="007C3F52"/>
    <w:rsid w:val="007C54EB"/>
    <w:rsid w:val="007D57D4"/>
    <w:rsid w:val="007E011F"/>
    <w:rsid w:val="007F17A7"/>
    <w:rsid w:val="00807243"/>
    <w:rsid w:val="00811798"/>
    <w:rsid w:val="0081595B"/>
    <w:rsid w:val="00827257"/>
    <w:rsid w:val="00833432"/>
    <w:rsid w:val="00840DC6"/>
    <w:rsid w:val="00843315"/>
    <w:rsid w:val="0084355C"/>
    <w:rsid w:val="00845DDD"/>
    <w:rsid w:val="00852A0B"/>
    <w:rsid w:val="008539A7"/>
    <w:rsid w:val="008546B5"/>
    <w:rsid w:val="00857314"/>
    <w:rsid w:val="008602ED"/>
    <w:rsid w:val="0086078C"/>
    <w:rsid w:val="00863DC9"/>
    <w:rsid w:val="008678B4"/>
    <w:rsid w:val="00871B9B"/>
    <w:rsid w:val="00873709"/>
    <w:rsid w:val="008747B6"/>
    <w:rsid w:val="0087622C"/>
    <w:rsid w:val="008843CC"/>
    <w:rsid w:val="00891CCE"/>
    <w:rsid w:val="00894BA7"/>
    <w:rsid w:val="00894C42"/>
    <w:rsid w:val="0089616B"/>
    <w:rsid w:val="00897F3A"/>
    <w:rsid w:val="008A71C9"/>
    <w:rsid w:val="008B187F"/>
    <w:rsid w:val="008B1E10"/>
    <w:rsid w:val="008B47E6"/>
    <w:rsid w:val="008E0D30"/>
    <w:rsid w:val="008E187C"/>
    <w:rsid w:val="008E5FD3"/>
    <w:rsid w:val="008E7315"/>
    <w:rsid w:val="008F0234"/>
    <w:rsid w:val="008F58B3"/>
    <w:rsid w:val="008F7BCB"/>
    <w:rsid w:val="00904331"/>
    <w:rsid w:val="00907C31"/>
    <w:rsid w:val="00912A5B"/>
    <w:rsid w:val="00915176"/>
    <w:rsid w:val="009178F5"/>
    <w:rsid w:val="00944092"/>
    <w:rsid w:val="0094478C"/>
    <w:rsid w:val="00945579"/>
    <w:rsid w:val="00950197"/>
    <w:rsid w:val="00950B7D"/>
    <w:rsid w:val="00952E6E"/>
    <w:rsid w:val="0095386F"/>
    <w:rsid w:val="009603A0"/>
    <w:rsid w:val="00970EBD"/>
    <w:rsid w:val="009764A5"/>
    <w:rsid w:val="009940E2"/>
    <w:rsid w:val="00995593"/>
    <w:rsid w:val="009959D2"/>
    <w:rsid w:val="00997C88"/>
    <w:rsid w:val="009A0074"/>
    <w:rsid w:val="009B390C"/>
    <w:rsid w:val="009B5DE3"/>
    <w:rsid w:val="009D2851"/>
    <w:rsid w:val="009D443E"/>
    <w:rsid w:val="009E56A4"/>
    <w:rsid w:val="009F1C47"/>
    <w:rsid w:val="009F2038"/>
    <w:rsid w:val="009F2D30"/>
    <w:rsid w:val="009F486C"/>
    <w:rsid w:val="00A01278"/>
    <w:rsid w:val="00A01730"/>
    <w:rsid w:val="00A239FA"/>
    <w:rsid w:val="00A241EB"/>
    <w:rsid w:val="00A34F6E"/>
    <w:rsid w:val="00A43407"/>
    <w:rsid w:val="00A44FDE"/>
    <w:rsid w:val="00A56355"/>
    <w:rsid w:val="00A569DE"/>
    <w:rsid w:val="00A7188B"/>
    <w:rsid w:val="00A8198B"/>
    <w:rsid w:val="00A834BE"/>
    <w:rsid w:val="00A84B4B"/>
    <w:rsid w:val="00A85EFB"/>
    <w:rsid w:val="00A86D0E"/>
    <w:rsid w:val="00A91BDF"/>
    <w:rsid w:val="00AA2C22"/>
    <w:rsid w:val="00AB42A8"/>
    <w:rsid w:val="00AB54E4"/>
    <w:rsid w:val="00AB61A8"/>
    <w:rsid w:val="00AB7008"/>
    <w:rsid w:val="00AB7427"/>
    <w:rsid w:val="00AB74AD"/>
    <w:rsid w:val="00AC0403"/>
    <w:rsid w:val="00AC1324"/>
    <w:rsid w:val="00AC16CE"/>
    <w:rsid w:val="00AC2210"/>
    <w:rsid w:val="00AC427D"/>
    <w:rsid w:val="00AD2AAF"/>
    <w:rsid w:val="00AE1FFC"/>
    <w:rsid w:val="00AE2813"/>
    <w:rsid w:val="00AF0821"/>
    <w:rsid w:val="00AF1384"/>
    <w:rsid w:val="00AF3428"/>
    <w:rsid w:val="00AF780A"/>
    <w:rsid w:val="00B11866"/>
    <w:rsid w:val="00B40516"/>
    <w:rsid w:val="00B4168C"/>
    <w:rsid w:val="00B42F53"/>
    <w:rsid w:val="00B43662"/>
    <w:rsid w:val="00B511D2"/>
    <w:rsid w:val="00B5197B"/>
    <w:rsid w:val="00B54C6C"/>
    <w:rsid w:val="00B60DDA"/>
    <w:rsid w:val="00B6464C"/>
    <w:rsid w:val="00B64F2D"/>
    <w:rsid w:val="00B72F65"/>
    <w:rsid w:val="00B73B5B"/>
    <w:rsid w:val="00B73F1A"/>
    <w:rsid w:val="00B77632"/>
    <w:rsid w:val="00B77970"/>
    <w:rsid w:val="00B77E93"/>
    <w:rsid w:val="00B77F7C"/>
    <w:rsid w:val="00B8289C"/>
    <w:rsid w:val="00B83125"/>
    <w:rsid w:val="00B84247"/>
    <w:rsid w:val="00B86550"/>
    <w:rsid w:val="00B90632"/>
    <w:rsid w:val="00B953EC"/>
    <w:rsid w:val="00BB115D"/>
    <w:rsid w:val="00BB2071"/>
    <w:rsid w:val="00BC0914"/>
    <w:rsid w:val="00BC285A"/>
    <w:rsid w:val="00BC2A59"/>
    <w:rsid w:val="00BD32E8"/>
    <w:rsid w:val="00BF4873"/>
    <w:rsid w:val="00BF6922"/>
    <w:rsid w:val="00C02FFE"/>
    <w:rsid w:val="00C042EA"/>
    <w:rsid w:val="00C05787"/>
    <w:rsid w:val="00C20690"/>
    <w:rsid w:val="00C26DED"/>
    <w:rsid w:val="00C30D57"/>
    <w:rsid w:val="00C41BAE"/>
    <w:rsid w:val="00C42C9A"/>
    <w:rsid w:val="00C43AF5"/>
    <w:rsid w:val="00C470ED"/>
    <w:rsid w:val="00C5427D"/>
    <w:rsid w:val="00C61EBC"/>
    <w:rsid w:val="00C62377"/>
    <w:rsid w:val="00C66BE0"/>
    <w:rsid w:val="00C70852"/>
    <w:rsid w:val="00C716AF"/>
    <w:rsid w:val="00C82ABB"/>
    <w:rsid w:val="00C839F6"/>
    <w:rsid w:val="00C8575D"/>
    <w:rsid w:val="00C877CC"/>
    <w:rsid w:val="00C901F4"/>
    <w:rsid w:val="00C92C79"/>
    <w:rsid w:val="00CA0BEC"/>
    <w:rsid w:val="00CA67AA"/>
    <w:rsid w:val="00CB2A4D"/>
    <w:rsid w:val="00CB698A"/>
    <w:rsid w:val="00CE3754"/>
    <w:rsid w:val="00D04CF7"/>
    <w:rsid w:val="00D15A26"/>
    <w:rsid w:val="00D20A76"/>
    <w:rsid w:val="00D306BF"/>
    <w:rsid w:val="00D31401"/>
    <w:rsid w:val="00D32990"/>
    <w:rsid w:val="00D40428"/>
    <w:rsid w:val="00D45D98"/>
    <w:rsid w:val="00D4655B"/>
    <w:rsid w:val="00D524FC"/>
    <w:rsid w:val="00D54B01"/>
    <w:rsid w:val="00D8099A"/>
    <w:rsid w:val="00D81DE6"/>
    <w:rsid w:val="00D81F2A"/>
    <w:rsid w:val="00D820FB"/>
    <w:rsid w:val="00D826DB"/>
    <w:rsid w:val="00D83559"/>
    <w:rsid w:val="00D858AA"/>
    <w:rsid w:val="00D85F7F"/>
    <w:rsid w:val="00DA3B5E"/>
    <w:rsid w:val="00DC502E"/>
    <w:rsid w:val="00DD09B3"/>
    <w:rsid w:val="00DE2827"/>
    <w:rsid w:val="00DE29CC"/>
    <w:rsid w:val="00DE4A2D"/>
    <w:rsid w:val="00DE754E"/>
    <w:rsid w:val="00DF2127"/>
    <w:rsid w:val="00DF61BB"/>
    <w:rsid w:val="00E005FB"/>
    <w:rsid w:val="00E05FFD"/>
    <w:rsid w:val="00E1158D"/>
    <w:rsid w:val="00E11D75"/>
    <w:rsid w:val="00E149C4"/>
    <w:rsid w:val="00E23A69"/>
    <w:rsid w:val="00E314FB"/>
    <w:rsid w:val="00E36F06"/>
    <w:rsid w:val="00E37AFC"/>
    <w:rsid w:val="00E4039D"/>
    <w:rsid w:val="00E41869"/>
    <w:rsid w:val="00E422C6"/>
    <w:rsid w:val="00E46FA6"/>
    <w:rsid w:val="00E543DD"/>
    <w:rsid w:val="00E5467A"/>
    <w:rsid w:val="00E63F43"/>
    <w:rsid w:val="00E72B00"/>
    <w:rsid w:val="00E77D41"/>
    <w:rsid w:val="00E80910"/>
    <w:rsid w:val="00E906FB"/>
    <w:rsid w:val="00E92C3B"/>
    <w:rsid w:val="00E944B4"/>
    <w:rsid w:val="00E949FB"/>
    <w:rsid w:val="00EA58B4"/>
    <w:rsid w:val="00EB019F"/>
    <w:rsid w:val="00EB04B5"/>
    <w:rsid w:val="00EB22EA"/>
    <w:rsid w:val="00EC00F2"/>
    <w:rsid w:val="00EC2E34"/>
    <w:rsid w:val="00EC3107"/>
    <w:rsid w:val="00EC7937"/>
    <w:rsid w:val="00ED0E8E"/>
    <w:rsid w:val="00ED6D48"/>
    <w:rsid w:val="00ED7B70"/>
    <w:rsid w:val="00EE23AF"/>
    <w:rsid w:val="00EF07AC"/>
    <w:rsid w:val="00EF64D0"/>
    <w:rsid w:val="00F0080D"/>
    <w:rsid w:val="00F00DD1"/>
    <w:rsid w:val="00F01F52"/>
    <w:rsid w:val="00F020A6"/>
    <w:rsid w:val="00F033CF"/>
    <w:rsid w:val="00F33B40"/>
    <w:rsid w:val="00F41309"/>
    <w:rsid w:val="00F422DD"/>
    <w:rsid w:val="00F43002"/>
    <w:rsid w:val="00F56A7A"/>
    <w:rsid w:val="00F57A9F"/>
    <w:rsid w:val="00F57AA7"/>
    <w:rsid w:val="00F66184"/>
    <w:rsid w:val="00F669CD"/>
    <w:rsid w:val="00F700CF"/>
    <w:rsid w:val="00F74791"/>
    <w:rsid w:val="00F77F3B"/>
    <w:rsid w:val="00F91DBA"/>
    <w:rsid w:val="00F95A11"/>
    <w:rsid w:val="00F96902"/>
    <w:rsid w:val="00FA10A9"/>
    <w:rsid w:val="00FA549B"/>
    <w:rsid w:val="00FB074B"/>
    <w:rsid w:val="00FB427C"/>
    <w:rsid w:val="00FD7030"/>
    <w:rsid w:val="00FE7670"/>
    <w:rsid w:val="00FF7CB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3548"/>
  <w15:docId w15:val="{B5782454-961E-4178-B0B7-7EBC03636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D9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D45D98"/>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D45D98"/>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unhideWhenUsed/>
    <w:rsid w:val="00D45D98"/>
    <w:rPr>
      <w:vertAlign w:val="superscript"/>
    </w:rPr>
  </w:style>
  <w:style w:type="table" w:customStyle="1" w:styleId="TableGrid1">
    <w:name w:val="Table Grid1"/>
    <w:basedOn w:val="TableNormal"/>
    <w:next w:val="TableGrid"/>
    <w:uiPriority w:val="5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561A"/>
    <w:rPr>
      <w:sz w:val="16"/>
      <w:szCs w:val="16"/>
    </w:rPr>
  </w:style>
  <w:style w:type="paragraph" w:styleId="CommentText">
    <w:name w:val="annotation text"/>
    <w:basedOn w:val="Normal"/>
    <w:link w:val="CommentTextChar"/>
    <w:uiPriority w:val="99"/>
    <w:unhideWhenUsed/>
    <w:rsid w:val="003C561A"/>
    <w:pPr>
      <w:spacing w:line="240" w:lineRule="auto"/>
    </w:pPr>
    <w:rPr>
      <w:sz w:val="20"/>
      <w:szCs w:val="20"/>
    </w:rPr>
  </w:style>
  <w:style w:type="character" w:customStyle="1" w:styleId="CommentTextChar">
    <w:name w:val="Comment Text Char"/>
    <w:basedOn w:val="DefaultParagraphFont"/>
    <w:link w:val="CommentText"/>
    <w:uiPriority w:val="99"/>
    <w:rsid w:val="003C56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561A"/>
    <w:rPr>
      <w:b/>
      <w:bCs/>
    </w:rPr>
  </w:style>
  <w:style w:type="character" w:customStyle="1" w:styleId="CommentSubjectChar">
    <w:name w:val="Comment Subject Char"/>
    <w:basedOn w:val="CommentTextChar"/>
    <w:link w:val="CommentSubject"/>
    <w:uiPriority w:val="99"/>
    <w:semiHidden/>
    <w:rsid w:val="003C56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C5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61A"/>
    <w:rPr>
      <w:rFonts w:ascii="Segoe UI" w:eastAsia="Calibri" w:hAnsi="Segoe UI" w:cs="Segoe UI"/>
      <w:sz w:val="18"/>
      <w:szCs w:val="18"/>
    </w:rPr>
  </w:style>
  <w:style w:type="character" w:styleId="Hyperlink">
    <w:name w:val="Hyperlink"/>
    <w:basedOn w:val="DefaultParagraphFont"/>
    <w:uiPriority w:val="99"/>
    <w:unhideWhenUsed/>
    <w:rsid w:val="003C561A"/>
    <w:rPr>
      <w:color w:val="0563C1" w:themeColor="hyperlink"/>
      <w:u w:val="single"/>
    </w:rPr>
  </w:style>
  <w:style w:type="paragraph" w:styleId="Revision">
    <w:name w:val="Revision"/>
    <w:hidden/>
    <w:uiPriority w:val="99"/>
    <w:semiHidden/>
    <w:rsid w:val="00253E35"/>
    <w:rPr>
      <w:rFonts w:ascii="Calibri" w:eastAsia="Calibri" w:hAnsi="Calibri" w:cs="Times New Roman"/>
      <w:sz w:val="22"/>
    </w:rPr>
  </w:style>
  <w:style w:type="character" w:customStyle="1" w:styleId="UnresolvedMention1">
    <w:name w:val="Unresolved Mention1"/>
    <w:basedOn w:val="DefaultParagraphFont"/>
    <w:uiPriority w:val="99"/>
    <w:semiHidden/>
    <w:unhideWhenUsed/>
    <w:rsid w:val="009B5DE3"/>
    <w:rPr>
      <w:color w:val="605E5C"/>
      <w:shd w:val="clear" w:color="auto" w:fill="E1DFDD"/>
    </w:rPr>
  </w:style>
  <w:style w:type="character" w:styleId="FollowedHyperlink">
    <w:name w:val="FollowedHyperlink"/>
    <w:basedOn w:val="DefaultParagraphFont"/>
    <w:uiPriority w:val="99"/>
    <w:semiHidden/>
    <w:unhideWhenUsed/>
    <w:rsid w:val="0017342A"/>
    <w:rPr>
      <w:color w:val="954F72" w:themeColor="followedHyperlink"/>
      <w:u w:val="single"/>
    </w:rPr>
  </w:style>
  <w:style w:type="paragraph" w:styleId="Header">
    <w:name w:val="header"/>
    <w:basedOn w:val="Normal"/>
    <w:link w:val="HeaderChar"/>
    <w:uiPriority w:val="99"/>
    <w:unhideWhenUsed/>
    <w:rsid w:val="00EF64D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4D0"/>
    <w:rPr>
      <w:rFonts w:ascii="Calibri" w:eastAsia="Calibri" w:hAnsi="Calibri" w:cs="Times New Roman"/>
      <w:sz w:val="22"/>
    </w:rPr>
  </w:style>
  <w:style w:type="paragraph" w:styleId="Footer">
    <w:name w:val="footer"/>
    <w:basedOn w:val="Normal"/>
    <w:link w:val="FooterChar"/>
    <w:uiPriority w:val="99"/>
    <w:unhideWhenUsed/>
    <w:rsid w:val="00EF64D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4D0"/>
    <w:rPr>
      <w:rFonts w:ascii="Calibri" w:eastAsia="Calibri" w:hAnsi="Calibri" w:cs="Times New Roman"/>
      <w:sz w:val="22"/>
    </w:rPr>
  </w:style>
  <w:style w:type="character" w:customStyle="1" w:styleId="UnresolvedMention2">
    <w:name w:val="Unresolved Mention2"/>
    <w:basedOn w:val="DefaultParagraphFont"/>
    <w:uiPriority w:val="99"/>
    <w:semiHidden/>
    <w:unhideWhenUsed/>
    <w:rsid w:val="00145E5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C26DED"/>
    <w:pPr>
      <w:spacing w:after="160" w:line="240" w:lineRule="exact"/>
      <w:jc w:val="both"/>
      <w:textAlignment w:val="baseline"/>
    </w:pPr>
    <w:rPr>
      <w:rFonts w:ascii="Times New Roman" w:eastAsiaTheme="minorHAnsi" w:hAnsi="Times New Roman" w:cstheme="minorBidi"/>
      <w:sz w:val="24"/>
      <w:vertAlign w:val="superscript"/>
    </w:rPr>
  </w:style>
  <w:style w:type="paragraph" w:styleId="ListParagraph">
    <w:name w:val="List Paragraph"/>
    <w:aliases w:val="2"/>
    <w:basedOn w:val="Normal"/>
    <w:link w:val="ListParagraphChar"/>
    <w:uiPriority w:val="34"/>
    <w:qFormat/>
    <w:rsid w:val="00E4039D"/>
    <w:pPr>
      <w:ind w:left="720"/>
      <w:contextualSpacing/>
    </w:pPr>
  </w:style>
  <w:style w:type="character" w:customStyle="1" w:styleId="ListParagraphChar">
    <w:name w:val="List Paragraph Char"/>
    <w:aliases w:val="2 Char"/>
    <w:link w:val="ListParagraph"/>
    <w:uiPriority w:val="34"/>
    <w:locked/>
    <w:rsid w:val="0033207E"/>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260">
      <w:bodyDiv w:val="1"/>
      <w:marLeft w:val="0"/>
      <w:marRight w:val="0"/>
      <w:marTop w:val="0"/>
      <w:marBottom w:val="0"/>
      <w:divBdr>
        <w:top w:val="none" w:sz="0" w:space="0" w:color="auto"/>
        <w:left w:val="none" w:sz="0" w:space="0" w:color="auto"/>
        <w:bottom w:val="none" w:sz="0" w:space="0" w:color="auto"/>
        <w:right w:val="none" w:sz="0" w:space="0" w:color="auto"/>
      </w:divBdr>
      <w:divsChild>
        <w:div w:id="1023632785">
          <w:marLeft w:val="0"/>
          <w:marRight w:val="0"/>
          <w:marTop w:val="0"/>
          <w:marBottom w:val="0"/>
          <w:divBdr>
            <w:top w:val="none" w:sz="0" w:space="0" w:color="auto"/>
            <w:left w:val="none" w:sz="0" w:space="0" w:color="auto"/>
            <w:bottom w:val="none" w:sz="0" w:space="0" w:color="auto"/>
            <w:right w:val="none" w:sz="0" w:space="0" w:color="auto"/>
          </w:divBdr>
        </w:div>
      </w:divsChild>
    </w:div>
    <w:div w:id="120732024">
      <w:bodyDiv w:val="1"/>
      <w:marLeft w:val="0"/>
      <w:marRight w:val="0"/>
      <w:marTop w:val="0"/>
      <w:marBottom w:val="0"/>
      <w:divBdr>
        <w:top w:val="none" w:sz="0" w:space="0" w:color="auto"/>
        <w:left w:val="none" w:sz="0" w:space="0" w:color="auto"/>
        <w:bottom w:val="none" w:sz="0" w:space="0" w:color="auto"/>
        <w:right w:val="none" w:sz="0" w:space="0" w:color="auto"/>
      </w:divBdr>
    </w:div>
    <w:div w:id="174537467">
      <w:bodyDiv w:val="1"/>
      <w:marLeft w:val="0"/>
      <w:marRight w:val="0"/>
      <w:marTop w:val="0"/>
      <w:marBottom w:val="0"/>
      <w:divBdr>
        <w:top w:val="none" w:sz="0" w:space="0" w:color="auto"/>
        <w:left w:val="none" w:sz="0" w:space="0" w:color="auto"/>
        <w:bottom w:val="none" w:sz="0" w:space="0" w:color="auto"/>
        <w:right w:val="none" w:sz="0" w:space="0" w:color="auto"/>
      </w:divBdr>
    </w:div>
    <w:div w:id="275605422">
      <w:bodyDiv w:val="1"/>
      <w:marLeft w:val="0"/>
      <w:marRight w:val="0"/>
      <w:marTop w:val="0"/>
      <w:marBottom w:val="0"/>
      <w:divBdr>
        <w:top w:val="none" w:sz="0" w:space="0" w:color="auto"/>
        <w:left w:val="none" w:sz="0" w:space="0" w:color="auto"/>
        <w:bottom w:val="none" w:sz="0" w:space="0" w:color="auto"/>
        <w:right w:val="none" w:sz="0" w:space="0" w:color="auto"/>
      </w:divBdr>
    </w:div>
    <w:div w:id="340199949">
      <w:bodyDiv w:val="1"/>
      <w:marLeft w:val="0"/>
      <w:marRight w:val="0"/>
      <w:marTop w:val="0"/>
      <w:marBottom w:val="0"/>
      <w:divBdr>
        <w:top w:val="none" w:sz="0" w:space="0" w:color="auto"/>
        <w:left w:val="none" w:sz="0" w:space="0" w:color="auto"/>
        <w:bottom w:val="none" w:sz="0" w:space="0" w:color="auto"/>
        <w:right w:val="none" w:sz="0" w:space="0" w:color="auto"/>
      </w:divBdr>
    </w:div>
    <w:div w:id="364403237">
      <w:bodyDiv w:val="1"/>
      <w:marLeft w:val="0"/>
      <w:marRight w:val="0"/>
      <w:marTop w:val="0"/>
      <w:marBottom w:val="0"/>
      <w:divBdr>
        <w:top w:val="none" w:sz="0" w:space="0" w:color="auto"/>
        <w:left w:val="none" w:sz="0" w:space="0" w:color="auto"/>
        <w:bottom w:val="none" w:sz="0" w:space="0" w:color="auto"/>
        <w:right w:val="none" w:sz="0" w:space="0" w:color="auto"/>
      </w:divBdr>
    </w:div>
    <w:div w:id="371197590">
      <w:bodyDiv w:val="1"/>
      <w:marLeft w:val="0"/>
      <w:marRight w:val="0"/>
      <w:marTop w:val="0"/>
      <w:marBottom w:val="0"/>
      <w:divBdr>
        <w:top w:val="none" w:sz="0" w:space="0" w:color="auto"/>
        <w:left w:val="none" w:sz="0" w:space="0" w:color="auto"/>
        <w:bottom w:val="none" w:sz="0" w:space="0" w:color="auto"/>
        <w:right w:val="none" w:sz="0" w:space="0" w:color="auto"/>
      </w:divBdr>
    </w:div>
    <w:div w:id="446505515">
      <w:bodyDiv w:val="1"/>
      <w:marLeft w:val="0"/>
      <w:marRight w:val="0"/>
      <w:marTop w:val="0"/>
      <w:marBottom w:val="0"/>
      <w:divBdr>
        <w:top w:val="none" w:sz="0" w:space="0" w:color="auto"/>
        <w:left w:val="none" w:sz="0" w:space="0" w:color="auto"/>
        <w:bottom w:val="none" w:sz="0" w:space="0" w:color="auto"/>
        <w:right w:val="none" w:sz="0" w:space="0" w:color="auto"/>
      </w:divBdr>
    </w:div>
    <w:div w:id="452985440">
      <w:bodyDiv w:val="1"/>
      <w:marLeft w:val="0"/>
      <w:marRight w:val="0"/>
      <w:marTop w:val="0"/>
      <w:marBottom w:val="0"/>
      <w:divBdr>
        <w:top w:val="none" w:sz="0" w:space="0" w:color="auto"/>
        <w:left w:val="none" w:sz="0" w:space="0" w:color="auto"/>
        <w:bottom w:val="none" w:sz="0" w:space="0" w:color="auto"/>
        <w:right w:val="none" w:sz="0" w:space="0" w:color="auto"/>
      </w:divBdr>
    </w:div>
    <w:div w:id="997726745">
      <w:bodyDiv w:val="1"/>
      <w:marLeft w:val="0"/>
      <w:marRight w:val="0"/>
      <w:marTop w:val="0"/>
      <w:marBottom w:val="0"/>
      <w:divBdr>
        <w:top w:val="none" w:sz="0" w:space="0" w:color="auto"/>
        <w:left w:val="none" w:sz="0" w:space="0" w:color="auto"/>
        <w:bottom w:val="none" w:sz="0" w:space="0" w:color="auto"/>
        <w:right w:val="none" w:sz="0" w:space="0" w:color="auto"/>
      </w:divBdr>
    </w:div>
    <w:div w:id="1236622944">
      <w:bodyDiv w:val="1"/>
      <w:marLeft w:val="0"/>
      <w:marRight w:val="0"/>
      <w:marTop w:val="0"/>
      <w:marBottom w:val="0"/>
      <w:divBdr>
        <w:top w:val="none" w:sz="0" w:space="0" w:color="auto"/>
        <w:left w:val="none" w:sz="0" w:space="0" w:color="auto"/>
        <w:bottom w:val="none" w:sz="0" w:space="0" w:color="auto"/>
        <w:right w:val="none" w:sz="0" w:space="0" w:color="auto"/>
      </w:divBdr>
    </w:div>
    <w:div w:id="1334837950">
      <w:bodyDiv w:val="1"/>
      <w:marLeft w:val="0"/>
      <w:marRight w:val="0"/>
      <w:marTop w:val="0"/>
      <w:marBottom w:val="0"/>
      <w:divBdr>
        <w:top w:val="none" w:sz="0" w:space="0" w:color="auto"/>
        <w:left w:val="none" w:sz="0" w:space="0" w:color="auto"/>
        <w:bottom w:val="none" w:sz="0" w:space="0" w:color="auto"/>
        <w:right w:val="none" w:sz="0" w:space="0" w:color="auto"/>
      </w:divBdr>
    </w:div>
    <w:div w:id="1495874526">
      <w:bodyDiv w:val="1"/>
      <w:marLeft w:val="0"/>
      <w:marRight w:val="0"/>
      <w:marTop w:val="0"/>
      <w:marBottom w:val="0"/>
      <w:divBdr>
        <w:top w:val="none" w:sz="0" w:space="0" w:color="auto"/>
        <w:left w:val="none" w:sz="0" w:space="0" w:color="auto"/>
        <w:bottom w:val="none" w:sz="0" w:space="0" w:color="auto"/>
        <w:right w:val="none" w:sz="0" w:space="0" w:color="auto"/>
      </w:divBdr>
    </w:div>
    <w:div w:id="1594237518">
      <w:bodyDiv w:val="1"/>
      <w:marLeft w:val="0"/>
      <w:marRight w:val="0"/>
      <w:marTop w:val="0"/>
      <w:marBottom w:val="0"/>
      <w:divBdr>
        <w:top w:val="none" w:sz="0" w:space="0" w:color="auto"/>
        <w:left w:val="none" w:sz="0" w:space="0" w:color="auto"/>
        <w:bottom w:val="none" w:sz="0" w:space="0" w:color="auto"/>
        <w:right w:val="none" w:sz="0" w:space="0" w:color="auto"/>
      </w:divBdr>
    </w:div>
    <w:div w:id="18772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36CC8-5946-4EE6-96C8-676742784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7448</Words>
  <Characters>4246</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11671</CharactersWithSpaces>
  <SharedDoc>false</SharedDoc>
  <HLinks>
    <vt:vector size="6" baseType="variant">
      <vt:variant>
        <vt:i4>7602256</vt:i4>
      </vt:variant>
      <vt:variant>
        <vt:i4>0</vt:i4>
      </vt:variant>
      <vt:variant>
        <vt:i4>0</vt:i4>
      </vt:variant>
      <vt:variant>
        <vt:i4>5</vt:i4>
      </vt:variant>
      <vt:variant>
        <vt:lpwstr>http://ec.europa.eu/regional_policy/sources/docoffic/2014/working/wd_2014_en.pdf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Alise Eglīte</dc:creator>
  <cp:keywords/>
  <cp:lastModifiedBy>Jevgēnijs Burovs</cp:lastModifiedBy>
  <cp:revision>7</cp:revision>
  <cp:lastPrinted>2019-12-07T04:51:00Z</cp:lastPrinted>
  <dcterms:created xsi:type="dcterms:W3CDTF">2023-01-12T14:13:00Z</dcterms:created>
  <dcterms:modified xsi:type="dcterms:W3CDTF">2023-01-17T08:46:00Z</dcterms:modified>
</cp:coreProperties>
</file>