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836" w:rsidRPr="00286939" w:rsidRDefault="00094836" w:rsidP="00CF53D9">
      <w:pPr>
        <w:tabs>
          <w:tab w:val="left" w:pos="1280"/>
        </w:tabs>
        <w:spacing w:after="120" w:line="240" w:lineRule="auto"/>
        <w:rPr>
          <w:rFonts w:asciiTheme="majorHAnsi" w:hAnsiTheme="majorHAnsi"/>
          <w:b/>
          <w:color w:val="943634" w:themeColor="accent2" w:themeShade="BF"/>
          <w:sz w:val="28"/>
          <w:szCs w:val="28"/>
        </w:rPr>
      </w:pPr>
      <w:r w:rsidRPr="00286939">
        <w:rPr>
          <w:rFonts w:asciiTheme="majorHAnsi" w:hAnsiTheme="majorHAnsi"/>
          <w:b/>
          <w:color w:val="943634" w:themeColor="accent2" w:themeShade="BF"/>
          <w:sz w:val="28"/>
          <w:szCs w:val="28"/>
        </w:rPr>
        <w:t>9</w:t>
      </w:r>
      <w:r w:rsidR="00D17CEA" w:rsidRPr="00286939">
        <w:rPr>
          <w:rFonts w:asciiTheme="majorHAnsi" w:hAnsiTheme="majorHAnsi"/>
          <w:b/>
          <w:color w:val="943634" w:themeColor="accent2" w:themeShade="BF"/>
          <w:sz w:val="28"/>
          <w:szCs w:val="28"/>
        </w:rPr>
        <w:t>.Pielikums</w:t>
      </w:r>
      <w:r w:rsidRPr="00286939">
        <w:rPr>
          <w:rFonts w:asciiTheme="majorHAnsi" w:hAnsiTheme="majorHAnsi"/>
          <w:b/>
          <w:color w:val="943634" w:themeColor="accent2" w:themeShade="BF"/>
          <w:sz w:val="28"/>
          <w:szCs w:val="28"/>
        </w:rPr>
        <w:t xml:space="preserve"> ES fondu projektu iesniegumu atlases procesa variantu stiprās un vājās puses jaunajā plānošanas periodā</w:t>
      </w:r>
    </w:p>
    <w:tbl>
      <w:tblPr>
        <w:tblStyle w:val="TableGrid"/>
        <w:tblW w:w="10348" w:type="dxa"/>
        <w:tblInd w:w="-601" w:type="dxa"/>
        <w:tblLook w:val="04A0"/>
      </w:tblPr>
      <w:tblGrid>
        <w:gridCol w:w="817"/>
        <w:gridCol w:w="1877"/>
        <w:gridCol w:w="4003"/>
        <w:gridCol w:w="3651"/>
      </w:tblGrid>
      <w:tr w:rsidR="0046628F" w:rsidRPr="00286939" w:rsidTr="00CF53D9">
        <w:tc>
          <w:tcPr>
            <w:tcW w:w="817" w:type="dxa"/>
          </w:tcPr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N.p.k.</w:t>
            </w:r>
          </w:p>
        </w:tc>
        <w:tc>
          <w:tcPr>
            <w:tcW w:w="1877" w:type="dxa"/>
          </w:tcPr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Projektu iesniegumu atlases procesa organizēšana</w:t>
            </w:r>
          </w:p>
        </w:tc>
        <w:tc>
          <w:tcPr>
            <w:tcW w:w="4003" w:type="dxa"/>
          </w:tcPr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Stiprās puses</w:t>
            </w:r>
          </w:p>
        </w:tc>
        <w:tc>
          <w:tcPr>
            <w:tcW w:w="3651" w:type="dxa"/>
          </w:tcPr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Vājās puses</w:t>
            </w:r>
          </w:p>
        </w:tc>
      </w:tr>
      <w:tr w:rsidR="0046628F" w:rsidRPr="00286939" w:rsidTr="00CF53D9">
        <w:tc>
          <w:tcPr>
            <w:tcW w:w="817" w:type="dxa"/>
          </w:tcPr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(1)</w:t>
            </w:r>
          </w:p>
        </w:tc>
        <w:tc>
          <w:tcPr>
            <w:tcW w:w="1877" w:type="dxa"/>
          </w:tcPr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 xml:space="preserve">Projektu iesniegumu vērtēšanas un atlases funkcija </w:t>
            </w:r>
            <w:r w:rsidR="00850AFC" w:rsidRPr="00286939">
              <w:rPr>
                <w:rFonts w:asciiTheme="majorHAnsi" w:hAnsiTheme="majorHAnsi"/>
                <w:sz w:val="24"/>
                <w:szCs w:val="24"/>
              </w:rPr>
              <w:t>pilnībā tiek deleģēta CFLA</w:t>
            </w:r>
            <w:r w:rsidRPr="00286939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4003" w:type="dxa"/>
          </w:tcPr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Viens kontaktpunkts klientam visos ES fonda projekta ieviešanas posmos</w:t>
            </w:r>
            <w:r w:rsidR="00DB77A2"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.</w:t>
            </w:r>
          </w:p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Tiek nodrošināta maksimāli vienota pieeja projektu atlasēm.</w:t>
            </w:r>
          </w:p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Mazinās slodze VI, nodrošinot deleģētās funkcijas uzraudzību un kontroli.</w:t>
            </w:r>
          </w:p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Nozares ministrija pilda sev raksturīgās nozares politikas plānošanas un ieviešanas uzraudzības funkcijas.</w:t>
            </w:r>
          </w:p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 xml:space="preserve">Saturiskās kapacitātes stiprināšana, ja </w:t>
            </w:r>
            <w:r w:rsidR="00DB77A2"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not</w:t>
            </w:r>
            <w:r w:rsidR="00850AFC"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iek AI darbinieku rotācija uz CFLA</w:t>
            </w:r>
            <w:r w:rsidR="00DB77A2"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651" w:type="dxa"/>
          </w:tcPr>
          <w:p w:rsidR="00DB77A2" w:rsidRPr="00286939" w:rsidRDefault="00DB77A2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Lielo projektu gadījumā saglabājas atšķirīga projektu iesniegumu saskaņošana, kā arī nozares ministrijas kompetence strādāt ar atbildīgajiem EK direktorātiem.</w:t>
            </w:r>
          </w:p>
          <w:p w:rsidR="00DB77A2" w:rsidRPr="00286939" w:rsidRDefault="00DB77A2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 xml:space="preserve">Nozares ministrijai jau ES fondu ieviešanas sākumposmā neveidojas izpratne par projektu saturu un to ietekmi uz nozares stratēģijas ieviešanu. </w:t>
            </w:r>
          </w:p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Nepieciešams paredzēt papildus instrumentus, mehānismus</w:t>
            </w:r>
            <w:r w:rsidR="001F4987" w:rsidRPr="00286939">
              <w:rPr>
                <w:rFonts w:asciiTheme="majorHAnsi" w:hAnsiTheme="majorHAnsi"/>
                <w:sz w:val="24"/>
                <w:szCs w:val="24"/>
              </w:rPr>
              <w:t>, lai veidotos nozares ministrijas kompetence par saturu t.sk. nozares ministrijas iesaiste</w:t>
            </w:r>
            <w:r w:rsidRPr="00286939">
              <w:rPr>
                <w:rFonts w:asciiTheme="majorHAnsi" w:hAnsiTheme="majorHAnsi"/>
                <w:sz w:val="24"/>
                <w:szCs w:val="24"/>
              </w:rPr>
              <w:t xml:space="preserve"> sasniegto mērķu uzraudzībā un vērtēšanā.</w:t>
            </w:r>
          </w:p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Nozares ministriju ekspertu iesaiste projektu iesniegumu vērtēšanā jeb nozares intereses panākšana, lai projekti būtu kompetenti atlasīti.</w:t>
            </w:r>
          </w:p>
          <w:p w:rsidR="00DB77A2" w:rsidRPr="00286939" w:rsidRDefault="00DB77A2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AI iestāžu īpašnieciskums uz pašreizējiem darbiniekiem var traucēt esošās kompetences un „know-how” nodošanu.</w:t>
            </w:r>
          </w:p>
          <w:p w:rsidR="00AE43B2" w:rsidRPr="00286939" w:rsidRDefault="00AE43B2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Lielais darba apjoms var radīt grūtības SI nodrošināt vienmērīgu un efektīvu slodzes sadalījumu vērtēšanā iesaistītajiem darbiniekiem.</w:t>
            </w:r>
          </w:p>
          <w:p w:rsidR="00AE43B2" w:rsidRPr="00286939" w:rsidRDefault="009F743C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sz w:val="24"/>
                <w:szCs w:val="24"/>
              </w:rPr>
              <w:t xml:space="preserve">Ja projektu iesniegumu vērtēšana pilnībā </w:t>
            </w:r>
            <w:r w:rsidR="00913F10" w:rsidRPr="00286939">
              <w:rPr>
                <w:rFonts w:asciiTheme="majorHAnsi" w:eastAsia="Times New Roman" w:hAnsiTheme="majorHAnsi"/>
                <w:sz w:val="24"/>
                <w:szCs w:val="24"/>
              </w:rPr>
              <w:t xml:space="preserve">tiek nodota </w:t>
            </w:r>
            <w:bookmarkStart w:id="0" w:name="_GoBack"/>
            <w:bookmarkEnd w:id="0"/>
            <w:r w:rsidRPr="00286939">
              <w:rPr>
                <w:rFonts w:asciiTheme="majorHAnsi" w:eastAsia="Times New Roman" w:hAnsiTheme="majorHAnsi"/>
                <w:sz w:val="24"/>
                <w:szCs w:val="24"/>
              </w:rPr>
              <w:t>CFLA un negatīvo lēmumu apstrīdēšanai tiek veidota no 2007.-2013.gada atšķirīga sistēma,</w:t>
            </w: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 xml:space="preserve"> tad n</w:t>
            </w:r>
            <w:r w:rsidR="00AE43B2"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epieciešam</w:t>
            </w: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s</w:t>
            </w:r>
            <w:r w:rsidR="00AE43B2"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 xml:space="preserve"> veidot jaunu pārsūdzības institūciju un </w:t>
            </w:r>
            <w:r w:rsidR="00AE43B2"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lastRenderedPageBreak/>
              <w:t>stiprināt tās kompetenci un kapacitāti.</w:t>
            </w:r>
          </w:p>
        </w:tc>
      </w:tr>
      <w:tr w:rsidR="0046628F" w:rsidRPr="00286939" w:rsidTr="00CF53D9">
        <w:tc>
          <w:tcPr>
            <w:tcW w:w="817" w:type="dxa"/>
          </w:tcPr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lastRenderedPageBreak/>
              <w:t>(2)</w:t>
            </w:r>
          </w:p>
        </w:tc>
        <w:tc>
          <w:tcPr>
            <w:tcW w:w="1877" w:type="dxa"/>
          </w:tcPr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Projektu iesniegumu vērtēšanas un atlases funkcija pilnībā tiek deleģēta AI.</w:t>
            </w:r>
          </w:p>
        </w:tc>
        <w:tc>
          <w:tcPr>
            <w:tcW w:w="4003" w:type="dxa"/>
          </w:tcPr>
          <w:p w:rsidR="00C70F84" w:rsidRPr="00286939" w:rsidRDefault="001F4987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Tiek izmantotas esošās iestrādes projektu iesniegumu atlasē.</w:t>
            </w:r>
          </w:p>
          <w:p w:rsidR="001F4987" w:rsidRPr="00286939" w:rsidRDefault="001F4987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Tiek izmantotas esošās kompetences un „know-how” projektu iesniegumu vērtēšanā un atlasē.</w:t>
            </w:r>
          </w:p>
          <w:p w:rsidR="001F4987" w:rsidRPr="00286939" w:rsidRDefault="00743B23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 xml:space="preserve">Sistēmas pēctecība un kompetenču saglabāšana un turpināšana </w:t>
            </w:r>
            <w:r w:rsidR="009F743C" w:rsidRPr="00286939">
              <w:rPr>
                <w:rFonts w:asciiTheme="majorHAnsi" w:hAnsiTheme="majorHAnsi"/>
                <w:sz w:val="24"/>
                <w:szCs w:val="24"/>
              </w:rPr>
              <w:t>t.sk.</w:t>
            </w:r>
            <w:r w:rsidR="001F4987" w:rsidRPr="00286939">
              <w:rPr>
                <w:rFonts w:asciiTheme="majorHAnsi" w:hAnsiTheme="majorHAnsi"/>
                <w:sz w:val="24"/>
                <w:szCs w:val="24"/>
              </w:rPr>
              <w:t xml:space="preserve">negatīvo lēmumu apstrīdēšanas </w:t>
            </w:r>
            <w:r w:rsidR="009F743C" w:rsidRPr="00286939">
              <w:rPr>
                <w:rFonts w:asciiTheme="majorHAnsi" w:hAnsiTheme="majorHAnsi"/>
                <w:sz w:val="24"/>
                <w:szCs w:val="24"/>
              </w:rPr>
              <w:t>gadījumā</w:t>
            </w:r>
            <w:r w:rsidR="001F4987" w:rsidRPr="00286939">
              <w:rPr>
                <w:rFonts w:asciiTheme="majorHAnsi" w:hAnsiTheme="majorHAnsi"/>
                <w:sz w:val="24"/>
                <w:szCs w:val="24"/>
              </w:rPr>
              <w:t xml:space="preserve">. </w:t>
            </w:r>
          </w:p>
          <w:p w:rsidR="001F4987" w:rsidRPr="00286939" w:rsidRDefault="001F4987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Nodalīts projektu vērtēšanas un uzraudzības process palielina projektu īstenošanas uzraudzības objektivitāti un līdz ar to, iespējams, samazināt korupcijas risku.</w:t>
            </w:r>
          </w:p>
          <w:p w:rsidR="00AE43B2" w:rsidRPr="00286939" w:rsidRDefault="00AE43B2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Iespējama vienmērīgāka projektu iesniegumu atlases nodrošināšana.</w:t>
            </w:r>
          </w:p>
          <w:p w:rsidR="0046628F" w:rsidRPr="00286939" w:rsidRDefault="0046628F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 xml:space="preserve">Ieviešot e-pārvaldību, </w:t>
            </w:r>
            <w:r w:rsidR="00863BAF"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finansējuma saņēmējiem</w:t>
            </w: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 xml:space="preserve"> netiks radīta lieka nesapratne, kurai iestādei projekta pieteikums iesniedzams vērtēšanai.</w:t>
            </w:r>
          </w:p>
        </w:tc>
        <w:tc>
          <w:tcPr>
            <w:tcW w:w="3651" w:type="dxa"/>
          </w:tcPr>
          <w:p w:rsidR="00C70F84" w:rsidRPr="00286939" w:rsidRDefault="001F4987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Nesamazinās VI slodze deleģēto funkciju uzraudzībā un kontrolē</w:t>
            </w:r>
            <w:r w:rsidR="00DE5793" w:rsidRPr="00286939">
              <w:rPr>
                <w:rFonts w:asciiTheme="majorHAnsi" w:hAnsiTheme="majorHAnsi"/>
                <w:sz w:val="24"/>
                <w:szCs w:val="24"/>
              </w:rPr>
              <w:t>, jo jāturpina procedūru atbilstības pārbaudes vienotas metodikas un piemērošanas gadījumā.</w:t>
            </w:r>
          </w:p>
          <w:p w:rsidR="001F4987" w:rsidRPr="00286939" w:rsidRDefault="001F4987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Ņemot vērā iesaistīto institūciju skaitu pastāv risks, ka netiek nodrošināta maksimāli vienota pieeja projektu atlasēm.</w:t>
            </w:r>
          </w:p>
          <w:p w:rsidR="001F4987" w:rsidRPr="00286939" w:rsidRDefault="001F4987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Lielākas nosacījumu un jautājumu dažādas interpretācijas iespējas.</w:t>
            </w:r>
          </w:p>
          <w:p w:rsidR="001F4987" w:rsidRPr="00286939" w:rsidRDefault="001F4987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6628F" w:rsidRPr="0046628F" w:rsidTr="00CF53D9">
        <w:tc>
          <w:tcPr>
            <w:tcW w:w="817" w:type="dxa"/>
          </w:tcPr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(3)</w:t>
            </w:r>
          </w:p>
        </w:tc>
        <w:tc>
          <w:tcPr>
            <w:tcW w:w="1877" w:type="dxa"/>
          </w:tcPr>
          <w:p w:rsidR="00C70F84" w:rsidRPr="00286939" w:rsidRDefault="00C70F84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Projektu iesniegumu vērtēšanas un atlases funkcija tiek deleģēta gan AI, gan SI.</w:t>
            </w:r>
          </w:p>
        </w:tc>
        <w:tc>
          <w:tcPr>
            <w:tcW w:w="4003" w:type="dxa"/>
          </w:tcPr>
          <w:p w:rsidR="00C70F84" w:rsidRPr="00286939" w:rsidRDefault="00AE43B2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 xml:space="preserve">Dalītās projektu iesniegumu organizēšanas gadījumā AI </w:t>
            </w: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Vērtē projektu iesniegumu saturisko atbilstību un atbild par specifiskā atbalsta mērķa rezultātu sasniegšanu.</w:t>
            </w:r>
          </w:p>
          <w:p w:rsidR="00286939" w:rsidRDefault="0046628F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 xml:space="preserve">Esošās sistēmas stipro pušu pārmantojamība - </w:t>
            </w:r>
            <w:r w:rsidR="00AE43B2"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AI/nozares ministrija izskata pārsūdzības par satura jautājumiem.</w:t>
            </w:r>
          </w:p>
          <w:p w:rsidR="00286939" w:rsidRDefault="00286939" w:rsidP="0028693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286939" w:rsidRDefault="00286939" w:rsidP="0028693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E43B2" w:rsidRPr="00286939" w:rsidRDefault="00AE43B2" w:rsidP="0028693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651" w:type="dxa"/>
          </w:tcPr>
          <w:p w:rsidR="00C70F84" w:rsidRPr="00286939" w:rsidRDefault="0098088D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Saglabājas 2007.-2013.gada plānošanas periodā identificētie riski:</w:t>
            </w:r>
          </w:p>
          <w:p w:rsidR="0098088D" w:rsidRPr="00286939" w:rsidRDefault="0098088D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>-) papildus slodze VI, veicot metodisko darbu, uzraudzību un kontroli;</w:t>
            </w:r>
          </w:p>
          <w:p w:rsidR="0098088D" w:rsidRPr="00286939" w:rsidRDefault="0098088D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</w:pPr>
            <w:r w:rsidRPr="00286939">
              <w:rPr>
                <w:rFonts w:asciiTheme="majorHAnsi" w:hAnsiTheme="majorHAnsi"/>
                <w:sz w:val="24"/>
                <w:szCs w:val="24"/>
              </w:rPr>
              <w:t xml:space="preserve">-) </w:t>
            </w: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 xml:space="preserve">netiek nodrošināta centralizēta un horizontāla vērtēšana visām jomām un aktivitātēm, kā arī </w:t>
            </w:r>
            <w:r w:rsidR="00863BAF"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finansējuma saņēmējam</w:t>
            </w: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 xml:space="preserve"> var būt viena iestāde kā projekta vērtētājs, bet otra - kā projekta ieviešanas uzraugs;</w:t>
            </w:r>
          </w:p>
          <w:p w:rsidR="0098088D" w:rsidRPr="0046628F" w:rsidRDefault="0098088D" w:rsidP="00CF53D9">
            <w:pPr>
              <w:tabs>
                <w:tab w:val="left" w:pos="1280"/>
              </w:tabs>
              <w:spacing w:after="12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 xml:space="preserve">-) atšķirīgais funkciju dalījums rada papildus slodzi SI </w:t>
            </w:r>
            <w:r w:rsidR="00AE43B2" w:rsidRPr="00286939">
              <w:rPr>
                <w:rFonts w:asciiTheme="majorHAnsi" w:eastAsia="Times New Roman" w:hAnsiTheme="majorHAnsi"/>
                <w:color w:val="000000"/>
                <w:sz w:val="24"/>
                <w:szCs w:val="24"/>
              </w:rPr>
              <w:t>sistēmisku savu darbības procesu nodrošināšanā un uzraudzībā.</w:t>
            </w:r>
          </w:p>
        </w:tc>
      </w:tr>
    </w:tbl>
    <w:p w:rsidR="00CB1FEB" w:rsidRPr="0046628F" w:rsidRDefault="00CB1FEB" w:rsidP="00CF53D9">
      <w:pPr>
        <w:spacing w:line="240" w:lineRule="auto"/>
        <w:rPr>
          <w:rFonts w:asciiTheme="majorHAnsi" w:hAnsiTheme="majorHAnsi"/>
          <w:sz w:val="24"/>
          <w:szCs w:val="24"/>
        </w:rPr>
      </w:pPr>
    </w:p>
    <w:sectPr w:rsidR="00CB1FEB" w:rsidRPr="0046628F" w:rsidSect="00CF53D9">
      <w:footerReference w:type="default" r:id="rId6"/>
      <w:pgSz w:w="11906" w:h="16838"/>
      <w:pgMar w:top="1440" w:right="1800" w:bottom="1440" w:left="1800" w:header="708" w:footer="708" w:gutter="0"/>
      <w:pgNumType w:start="202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B1DF5E" w15:done="0"/>
  <w15:commentEx w15:paraId="6ED2E80C" w15:done="0"/>
  <w15:commentEx w15:paraId="2C1CF87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C22" w:rsidRDefault="00EF4C22" w:rsidP="00094836">
      <w:pPr>
        <w:spacing w:after="0" w:line="240" w:lineRule="auto"/>
      </w:pPr>
      <w:r>
        <w:separator/>
      </w:r>
    </w:p>
  </w:endnote>
  <w:endnote w:type="continuationSeparator" w:id="1">
    <w:p w:rsidR="00EF4C22" w:rsidRDefault="00EF4C22" w:rsidP="0009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Korinna LRS">
    <w:charset w:val="BA"/>
    <w:family w:val="auto"/>
    <w:pitch w:val="variable"/>
    <w:sig w:usb0="A0000227" w:usb1="00000000" w:usb2="00000000" w:usb3="00000000" w:csb0="00000197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4692"/>
      <w:docPartObj>
        <w:docPartGallery w:val="Page Numbers (Bottom of Page)"/>
        <w:docPartUnique/>
      </w:docPartObj>
    </w:sdtPr>
    <w:sdtContent>
      <w:p w:rsidR="00094836" w:rsidRDefault="00A432E7">
        <w:pPr>
          <w:pStyle w:val="Footer"/>
          <w:jc w:val="center"/>
        </w:pPr>
        <w:r>
          <w:fldChar w:fldCharType="begin"/>
        </w:r>
        <w:r w:rsidR="009C0720">
          <w:instrText xml:space="preserve"> PAGE   \* MERGEFORMAT </w:instrText>
        </w:r>
        <w:r>
          <w:fldChar w:fldCharType="separate"/>
        </w:r>
        <w:r w:rsidR="00286939">
          <w:rPr>
            <w:noProof/>
          </w:rPr>
          <w:t>203</w:t>
        </w:r>
        <w:r>
          <w:rPr>
            <w:noProof/>
          </w:rPr>
          <w:fldChar w:fldCharType="end"/>
        </w:r>
      </w:p>
    </w:sdtContent>
  </w:sdt>
  <w:p w:rsidR="00094836" w:rsidRDefault="000948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C22" w:rsidRDefault="00EF4C22" w:rsidP="00094836">
      <w:pPr>
        <w:spacing w:after="0" w:line="240" w:lineRule="auto"/>
      </w:pPr>
      <w:r>
        <w:separator/>
      </w:r>
    </w:p>
  </w:footnote>
  <w:footnote w:type="continuationSeparator" w:id="1">
    <w:p w:rsidR="00EF4C22" w:rsidRDefault="00EF4C22" w:rsidP="00094836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nda Barbara">
    <w15:presenceInfo w15:providerId="None" w15:userId="Linda Barbar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7CEA"/>
    <w:rsid w:val="00062C43"/>
    <w:rsid w:val="00094836"/>
    <w:rsid w:val="00126EB4"/>
    <w:rsid w:val="001B741C"/>
    <w:rsid w:val="001F4987"/>
    <w:rsid w:val="00286939"/>
    <w:rsid w:val="00326031"/>
    <w:rsid w:val="0046628F"/>
    <w:rsid w:val="004C30D1"/>
    <w:rsid w:val="00637EEB"/>
    <w:rsid w:val="006C46BC"/>
    <w:rsid w:val="00743B23"/>
    <w:rsid w:val="007E727D"/>
    <w:rsid w:val="00805732"/>
    <w:rsid w:val="00850AFC"/>
    <w:rsid w:val="00856B02"/>
    <w:rsid w:val="00863BAF"/>
    <w:rsid w:val="00913F10"/>
    <w:rsid w:val="0098088D"/>
    <w:rsid w:val="009C0720"/>
    <w:rsid w:val="009F743C"/>
    <w:rsid w:val="00A3340E"/>
    <w:rsid w:val="00A432E7"/>
    <w:rsid w:val="00AE43B2"/>
    <w:rsid w:val="00BF7A8F"/>
    <w:rsid w:val="00C70F84"/>
    <w:rsid w:val="00CB1FEB"/>
    <w:rsid w:val="00CF53D9"/>
    <w:rsid w:val="00D17CEA"/>
    <w:rsid w:val="00DA2D8B"/>
    <w:rsid w:val="00DB77A2"/>
    <w:rsid w:val="00DE5793"/>
    <w:rsid w:val="00E76BBD"/>
    <w:rsid w:val="00EF4C22"/>
    <w:rsid w:val="00F920AE"/>
    <w:rsid w:val="00FC0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CE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7CEA"/>
    <w:pPr>
      <w:spacing w:after="0" w:line="240" w:lineRule="auto"/>
    </w:pPr>
    <w:rPr>
      <w:rFonts w:ascii="Korinna LRS" w:eastAsia="Calibri" w:hAnsi="Korinna LRS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948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483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948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36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63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3B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3BA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3B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3BAF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BA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microsoft.com/office/2011/relationships/commentsExtended" Target="commentsExtended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2333</Words>
  <Characters>1331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2013-11-25T08:38:00Z</dcterms:created>
  <dcterms:modified xsi:type="dcterms:W3CDTF">2013-11-25T08:38:00Z</dcterms:modified>
</cp:coreProperties>
</file>