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502" w:rsidRPr="00D31979" w:rsidRDefault="00D50502" w:rsidP="00D57A94">
      <w:pPr>
        <w:jc w:val="center"/>
        <w:rPr>
          <w:noProof/>
          <w:lang w:val="en-GB"/>
        </w:rPr>
      </w:pPr>
      <w:bookmarkStart w:id="0" w:name="_GoBack"/>
      <w:bookmarkEnd w:id="0"/>
      <w:r w:rsidRPr="00D31979">
        <w:rPr>
          <w:noProof/>
          <w:lang w:val="lv-LV" w:eastAsia="lv-LV"/>
        </w:rPr>
        <w:drawing>
          <wp:inline distT="0" distB="0" distL="0" distR="0" wp14:anchorId="466ED78A" wp14:editId="254FA05A">
            <wp:extent cx="1467293" cy="1843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Riga-n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1147" cy="1848699"/>
                    </a:xfrm>
                    <a:prstGeom prst="rect">
                      <a:avLst/>
                    </a:prstGeom>
                  </pic:spPr>
                </pic:pic>
              </a:graphicData>
            </a:graphic>
          </wp:inline>
        </w:drawing>
      </w:r>
    </w:p>
    <w:p w:rsidR="00A706B9" w:rsidRPr="00D31979" w:rsidRDefault="00A706B9" w:rsidP="00A706B9">
      <w:pPr>
        <w:rPr>
          <w:rFonts w:asciiTheme="majorHAnsi" w:hAnsiTheme="majorHAnsi" w:cstheme="minorHAnsi"/>
          <w:b/>
          <w:color w:val="4F81BD" w:themeColor="accent1"/>
          <w:sz w:val="28"/>
          <w:szCs w:val="28"/>
          <w:lang w:val="en-GB"/>
        </w:rPr>
      </w:pPr>
    </w:p>
    <w:p w:rsidR="00A706B9" w:rsidRPr="00D31979" w:rsidRDefault="00832706" w:rsidP="00A706B9">
      <w:pPr>
        <w:jc w:val="center"/>
        <w:rPr>
          <w:rFonts w:asciiTheme="majorHAnsi" w:hAnsiTheme="majorHAnsi" w:cstheme="minorHAnsi"/>
          <w:b/>
          <w:color w:val="4F81BD" w:themeColor="accent1"/>
          <w:sz w:val="32"/>
          <w:szCs w:val="32"/>
          <w:lang w:val="en-GB"/>
        </w:rPr>
      </w:pPr>
      <w:r w:rsidRPr="00D31979">
        <w:rPr>
          <w:rFonts w:asciiTheme="majorHAnsi" w:hAnsiTheme="majorHAnsi" w:cstheme="minorHAnsi"/>
          <w:b/>
          <w:color w:val="4F81BD" w:themeColor="accent1"/>
          <w:sz w:val="32"/>
          <w:szCs w:val="32"/>
          <w:lang w:val="en-GB"/>
        </w:rPr>
        <w:t>Evaluation of the impact of EU funds on the economy of Latvia</w:t>
      </w:r>
    </w:p>
    <w:p w:rsidR="00A706B9" w:rsidRPr="00D31979" w:rsidRDefault="00832706" w:rsidP="00A706B9">
      <w:pPr>
        <w:spacing w:after="0"/>
        <w:jc w:val="center"/>
        <w:rPr>
          <w:rFonts w:cs="Times New Roman"/>
          <w:b/>
          <w:sz w:val="28"/>
          <w:szCs w:val="28"/>
          <w:lang w:val="en-GB"/>
        </w:rPr>
      </w:pPr>
      <w:r w:rsidRPr="00D31979">
        <w:rPr>
          <w:rFonts w:cs="Times New Roman"/>
          <w:b/>
          <w:sz w:val="28"/>
          <w:szCs w:val="28"/>
          <w:lang w:val="en-GB"/>
        </w:rPr>
        <w:t>Procurement</w:t>
      </w:r>
      <w:r w:rsidR="00A706B9" w:rsidRPr="00D31979">
        <w:rPr>
          <w:rFonts w:cs="Times New Roman"/>
          <w:b/>
          <w:sz w:val="28"/>
          <w:szCs w:val="28"/>
          <w:lang w:val="en-GB"/>
        </w:rPr>
        <w:t xml:space="preserve"> Nr. FM2010/15 – TP</w:t>
      </w:r>
    </w:p>
    <w:p w:rsidR="00A706B9" w:rsidRPr="00D31979" w:rsidRDefault="00832706" w:rsidP="00A706B9">
      <w:pPr>
        <w:spacing w:after="0"/>
        <w:jc w:val="center"/>
        <w:rPr>
          <w:rFonts w:cs="Times New Roman"/>
          <w:b/>
          <w:sz w:val="28"/>
          <w:szCs w:val="28"/>
          <w:lang w:val="en-GB"/>
        </w:rPr>
      </w:pPr>
      <w:r w:rsidRPr="00D31979">
        <w:rPr>
          <w:rFonts w:cs="Times New Roman"/>
          <w:b/>
          <w:sz w:val="28"/>
          <w:szCs w:val="28"/>
          <w:lang w:val="en-GB"/>
        </w:rPr>
        <w:t>Second deliverable</w:t>
      </w:r>
    </w:p>
    <w:p w:rsidR="00A706B9" w:rsidRPr="00D31979" w:rsidRDefault="00A706B9" w:rsidP="00A706B9">
      <w:pPr>
        <w:rPr>
          <w:rFonts w:asciiTheme="majorHAnsi" w:hAnsiTheme="majorHAnsi" w:cstheme="minorHAnsi"/>
          <w:b/>
          <w:color w:val="4F81BD" w:themeColor="accent1"/>
          <w:sz w:val="32"/>
          <w:szCs w:val="32"/>
          <w:lang w:val="en-GB"/>
        </w:rPr>
      </w:pPr>
    </w:p>
    <w:p w:rsidR="00A706B9" w:rsidRPr="00D31979" w:rsidRDefault="00C17C97" w:rsidP="00A706B9">
      <w:pPr>
        <w:spacing w:after="0"/>
        <w:rPr>
          <w:rFonts w:cs="Times New Roman"/>
          <w:b/>
          <w:i/>
          <w:szCs w:val="24"/>
          <w:lang w:val="en-GB"/>
        </w:rPr>
      </w:pPr>
      <w:r>
        <w:rPr>
          <w:rFonts w:cs="Times New Roman"/>
          <w:b/>
          <w:i/>
          <w:szCs w:val="24"/>
          <w:lang w:val="en-GB"/>
        </w:rPr>
        <w:t>Commissioned by</w:t>
      </w:r>
      <w:r w:rsidR="00A706B9" w:rsidRPr="00D31979">
        <w:rPr>
          <w:rFonts w:cs="Times New Roman"/>
          <w:b/>
          <w:i/>
          <w:szCs w:val="24"/>
          <w:lang w:val="en-GB"/>
        </w:rPr>
        <w:t>:</w:t>
      </w:r>
    </w:p>
    <w:p w:rsidR="00A706B9" w:rsidRPr="00D31979" w:rsidRDefault="005046AF" w:rsidP="00A706B9">
      <w:pPr>
        <w:spacing w:after="0"/>
        <w:rPr>
          <w:rFonts w:cs="Times New Roman"/>
          <w:i/>
          <w:szCs w:val="24"/>
          <w:lang w:val="en-GB"/>
        </w:rPr>
      </w:pPr>
      <w:r w:rsidRPr="00D31979">
        <w:rPr>
          <w:rFonts w:cs="Times New Roman"/>
          <w:i/>
          <w:szCs w:val="24"/>
          <w:lang w:val="en-GB"/>
        </w:rPr>
        <w:t>Ministry of Finance of the Republic of Latvia</w:t>
      </w:r>
    </w:p>
    <w:p w:rsidR="00A706B9" w:rsidRPr="00D31979" w:rsidRDefault="00A706B9" w:rsidP="00A706B9">
      <w:pPr>
        <w:spacing w:after="0"/>
        <w:rPr>
          <w:rFonts w:cs="Times New Roman"/>
          <w:i/>
          <w:szCs w:val="24"/>
          <w:lang w:val="en-GB"/>
        </w:rPr>
      </w:pPr>
      <w:r w:rsidRPr="00D31979">
        <w:rPr>
          <w:rFonts w:cs="Times New Roman"/>
          <w:i/>
          <w:szCs w:val="24"/>
          <w:lang w:val="en-GB"/>
        </w:rPr>
        <w:t>Smilšu iela 1</w:t>
      </w:r>
    </w:p>
    <w:p w:rsidR="00A706B9" w:rsidRPr="00D31979" w:rsidRDefault="00A706B9" w:rsidP="00A706B9">
      <w:pPr>
        <w:spacing w:after="0"/>
        <w:rPr>
          <w:rFonts w:cs="Times New Roman"/>
          <w:i/>
          <w:szCs w:val="24"/>
          <w:lang w:val="en-GB"/>
        </w:rPr>
      </w:pPr>
      <w:r w:rsidRPr="00D31979">
        <w:rPr>
          <w:rFonts w:cs="Times New Roman"/>
          <w:i/>
          <w:szCs w:val="24"/>
          <w:lang w:val="en-GB"/>
        </w:rPr>
        <w:t>Rīga LV-1919</w:t>
      </w:r>
    </w:p>
    <w:p w:rsidR="00A706B9" w:rsidRPr="00D31979" w:rsidRDefault="00A706B9" w:rsidP="00A706B9">
      <w:pPr>
        <w:spacing w:after="0"/>
        <w:rPr>
          <w:rFonts w:cs="Times New Roman"/>
          <w:i/>
          <w:szCs w:val="24"/>
          <w:lang w:val="en-GB"/>
        </w:rPr>
      </w:pPr>
    </w:p>
    <w:p w:rsidR="00A706B9" w:rsidRPr="00D31979" w:rsidRDefault="00832706" w:rsidP="00A706B9">
      <w:pPr>
        <w:spacing w:after="0"/>
        <w:rPr>
          <w:rFonts w:cs="Times New Roman"/>
          <w:b/>
          <w:i/>
          <w:szCs w:val="24"/>
          <w:lang w:val="en-GB"/>
        </w:rPr>
      </w:pPr>
      <w:r w:rsidRPr="00D31979">
        <w:rPr>
          <w:rFonts w:cs="Times New Roman"/>
          <w:b/>
          <w:i/>
          <w:szCs w:val="24"/>
          <w:lang w:val="en-GB"/>
        </w:rPr>
        <w:t>Contractor</w:t>
      </w:r>
      <w:r w:rsidR="00A706B9" w:rsidRPr="00D31979">
        <w:rPr>
          <w:rFonts w:cs="Times New Roman"/>
          <w:b/>
          <w:i/>
          <w:szCs w:val="24"/>
          <w:lang w:val="en-GB"/>
        </w:rPr>
        <w:t>:</w:t>
      </w:r>
    </w:p>
    <w:p w:rsidR="00A706B9" w:rsidRPr="00D31979" w:rsidRDefault="00A706B9" w:rsidP="00A706B9">
      <w:pPr>
        <w:spacing w:after="0"/>
        <w:rPr>
          <w:rFonts w:cs="Times New Roman"/>
          <w:i/>
          <w:szCs w:val="24"/>
          <w:lang w:val="en-GB"/>
        </w:rPr>
      </w:pPr>
      <w:r w:rsidRPr="00D31979">
        <w:rPr>
          <w:rFonts w:cs="Times New Roman"/>
          <w:i/>
          <w:szCs w:val="24"/>
          <w:lang w:val="en-GB"/>
        </w:rPr>
        <w:t>Stockh</w:t>
      </w:r>
      <w:r w:rsidR="005046AF" w:rsidRPr="00D31979">
        <w:rPr>
          <w:rFonts w:cs="Times New Roman"/>
          <w:i/>
          <w:szCs w:val="24"/>
          <w:lang w:val="en-GB"/>
        </w:rPr>
        <w:t>olm School of Economics in Riga</w:t>
      </w:r>
    </w:p>
    <w:p w:rsidR="00A706B9" w:rsidRPr="00D31979" w:rsidRDefault="00A706B9" w:rsidP="00A706B9">
      <w:pPr>
        <w:spacing w:after="0"/>
        <w:rPr>
          <w:rFonts w:cs="Times New Roman"/>
          <w:i/>
          <w:szCs w:val="24"/>
          <w:lang w:val="en-GB"/>
        </w:rPr>
      </w:pPr>
      <w:r w:rsidRPr="00D31979">
        <w:rPr>
          <w:rFonts w:cs="Times New Roman"/>
          <w:i/>
          <w:szCs w:val="24"/>
          <w:lang w:val="en-GB"/>
        </w:rPr>
        <w:t>Strēlnieku iela 4a</w:t>
      </w:r>
    </w:p>
    <w:p w:rsidR="00A706B9" w:rsidRPr="00D31979" w:rsidRDefault="00A706B9" w:rsidP="00A706B9">
      <w:pPr>
        <w:spacing w:after="0"/>
        <w:rPr>
          <w:rFonts w:cs="Times New Roman"/>
          <w:i/>
          <w:szCs w:val="24"/>
          <w:lang w:val="en-GB"/>
        </w:rPr>
      </w:pPr>
      <w:r w:rsidRPr="00D31979">
        <w:rPr>
          <w:rFonts w:cs="Times New Roman"/>
          <w:i/>
          <w:szCs w:val="24"/>
          <w:lang w:val="en-GB"/>
        </w:rPr>
        <w:t>Rīga LV-1010</w:t>
      </w:r>
    </w:p>
    <w:p w:rsidR="00A706B9" w:rsidRPr="00D31979" w:rsidRDefault="00A706B9" w:rsidP="00A706B9">
      <w:pPr>
        <w:spacing w:after="0"/>
        <w:rPr>
          <w:rFonts w:cs="Times New Roman"/>
          <w:i/>
          <w:szCs w:val="24"/>
          <w:lang w:val="en-GB"/>
        </w:rPr>
      </w:pPr>
    </w:p>
    <w:p w:rsidR="00A706B9" w:rsidRPr="00D31979" w:rsidRDefault="00832706" w:rsidP="00A706B9">
      <w:pPr>
        <w:spacing w:after="0"/>
        <w:rPr>
          <w:rFonts w:cs="Times New Roman"/>
          <w:b/>
          <w:i/>
          <w:szCs w:val="24"/>
          <w:lang w:val="en-GB"/>
        </w:rPr>
      </w:pPr>
      <w:r w:rsidRPr="00D31979">
        <w:rPr>
          <w:rFonts w:cs="Times New Roman"/>
          <w:b/>
          <w:i/>
          <w:szCs w:val="24"/>
          <w:lang w:val="en-GB"/>
        </w:rPr>
        <w:t>Partn</w:t>
      </w:r>
      <w:r w:rsidR="00C17C97">
        <w:rPr>
          <w:rFonts w:cs="Times New Roman"/>
          <w:b/>
          <w:i/>
          <w:szCs w:val="24"/>
          <w:lang w:val="en-GB"/>
        </w:rPr>
        <w:t>ers</w:t>
      </w:r>
      <w:r w:rsidR="00A706B9" w:rsidRPr="00D31979">
        <w:rPr>
          <w:rFonts w:cs="Times New Roman"/>
          <w:b/>
          <w:i/>
          <w:szCs w:val="24"/>
          <w:lang w:val="en-GB"/>
        </w:rPr>
        <w:t>:</w:t>
      </w:r>
    </w:p>
    <w:p w:rsidR="00A706B9" w:rsidRPr="00D31979" w:rsidRDefault="005046AF" w:rsidP="00A706B9">
      <w:pPr>
        <w:spacing w:after="0"/>
        <w:rPr>
          <w:rFonts w:cs="Times New Roman"/>
          <w:i/>
          <w:szCs w:val="24"/>
          <w:lang w:val="en-GB"/>
        </w:rPr>
      </w:pPr>
      <w:r w:rsidRPr="00D31979">
        <w:rPr>
          <w:rFonts w:cs="Times New Roman"/>
          <w:i/>
          <w:szCs w:val="24"/>
          <w:lang w:val="en-GB"/>
        </w:rPr>
        <w:t>Baltic International Centre for Economic Policy Studies</w:t>
      </w:r>
    </w:p>
    <w:p w:rsidR="00A706B9" w:rsidRPr="00D31979" w:rsidRDefault="00A706B9" w:rsidP="00A706B9">
      <w:pPr>
        <w:spacing w:after="0"/>
        <w:rPr>
          <w:rFonts w:cs="Times New Roman"/>
          <w:i/>
          <w:szCs w:val="24"/>
          <w:lang w:val="en-GB"/>
        </w:rPr>
      </w:pPr>
      <w:r w:rsidRPr="00D31979">
        <w:rPr>
          <w:rFonts w:cs="Times New Roman"/>
          <w:i/>
          <w:szCs w:val="24"/>
          <w:lang w:val="en-GB"/>
        </w:rPr>
        <w:t>Strēlnieku iela 4a</w:t>
      </w:r>
    </w:p>
    <w:p w:rsidR="00A706B9" w:rsidRPr="00D31979" w:rsidRDefault="00A706B9" w:rsidP="00A706B9">
      <w:pPr>
        <w:spacing w:after="0"/>
        <w:rPr>
          <w:rFonts w:cs="Times New Roman"/>
          <w:i/>
          <w:szCs w:val="24"/>
          <w:lang w:val="en-GB"/>
        </w:rPr>
      </w:pPr>
      <w:r w:rsidRPr="00D31979">
        <w:rPr>
          <w:rFonts w:cs="Times New Roman"/>
          <w:i/>
          <w:szCs w:val="24"/>
          <w:lang w:val="en-GB"/>
        </w:rPr>
        <w:t>Rīga LV-1010</w:t>
      </w:r>
    </w:p>
    <w:p w:rsidR="00A706B9" w:rsidRPr="00D31979" w:rsidRDefault="00A706B9" w:rsidP="00A706B9">
      <w:pPr>
        <w:spacing w:after="0"/>
        <w:rPr>
          <w:rFonts w:cs="Times New Roman"/>
          <w:i/>
          <w:szCs w:val="24"/>
          <w:lang w:val="en-GB"/>
        </w:rPr>
      </w:pPr>
    </w:p>
    <w:p w:rsidR="00A706B9" w:rsidRPr="00D31979" w:rsidRDefault="005046AF" w:rsidP="00A706B9">
      <w:pPr>
        <w:spacing w:after="0"/>
        <w:rPr>
          <w:rFonts w:cs="Times New Roman"/>
          <w:i/>
          <w:szCs w:val="24"/>
          <w:lang w:val="en-GB"/>
        </w:rPr>
      </w:pPr>
      <w:r w:rsidRPr="00D31979">
        <w:rPr>
          <w:rFonts w:cs="Times New Roman"/>
          <w:i/>
          <w:szCs w:val="24"/>
          <w:lang w:val="en-GB"/>
        </w:rPr>
        <w:t>Ernst &amp; Young Baltic</w:t>
      </w:r>
    </w:p>
    <w:p w:rsidR="00A706B9" w:rsidRPr="00D31979" w:rsidRDefault="00A706B9" w:rsidP="00A706B9">
      <w:pPr>
        <w:spacing w:after="0"/>
        <w:rPr>
          <w:rFonts w:cs="Times New Roman"/>
          <w:i/>
          <w:szCs w:val="24"/>
          <w:lang w:val="en-GB"/>
        </w:rPr>
      </w:pPr>
      <w:r w:rsidRPr="00D31979">
        <w:rPr>
          <w:rFonts w:cs="Times New Roman"/>
          <w:i/>
          <w:szCs w:val="24"/>
          <w:lang w:val="en-GB"/>
        </w:rPr>
        <w:t>Muitas iela 1A</w:t>
      </w:r>
    </w:p>
    <w:p w:rsidR="00A706B9" w:rsidRPr="00D31979" w:rsidRDefault="00A706B9" w:rsidP="00A706B9">
      <w:pPr>
        <w:spacing w:after="0"/>
        <w:rPr>
          <w:rFonts w:cs="Times New Roman"/>
          <w:i/>
          <w:szCs w:val="24"/>
          <w:lang w:val="en-GB"/>
        </w:rPr>
      </w:pPr>
      <w:r w:rsidRPr="00D31979">
        <w:rPr>
          <w:rFonts w:cs="Times New Roman"/>
          <w:i/>
          <w:szCs w:val="24"/>
          <w:lang w:val="en-GB"/>
        </w:rPr>
        <w:t>Rīga LV-1010</w:t>
      </w:r>
    </w:p>
    <w:p w:rsidR="00A706B9" w:rsidRPr="00D31979" w:rsidRDefault="00A706B9" w:rsidP="00A706B9">
      <w:pPr>
        <w:spacing w:after="0"/>
        <w:rPr>
          <w:rFonts w:cs="Times New Roman"/>
          <w:szCs w:val="24"/>
          <w:lang w:val="en-GB"/>
        </w:rPr>
      </w:pPr>
    </w:p>
    <w:p w:rsidR="00A706B9" w:rsidRPr="00D31979" w:rsidRDefault="00A706B9" w:rsidP="00A706B9">
      <w:pPr>
        <w:spacing w:after="0"/>
        <w:rPr>
          <w:rFonts w:cs="Times New Roman"/>
          <w:szCs w:val="24"/>
          <w:lang w:val="en-GB"/>
        </w:rPr>
      </w:pPr>
    </w:p>
    <w:p w:rsidR="00A706B9" w:rsidRPr="00D31979" w:rsidRDefault="00751FEF" w:rsidP="00A706B9">
      <w:pPr>
        <w:spacing w:after="0"/>
        <w:jc w:val="center"/>
        <w:rPr>
          <w:rFonts w:cs="Times New Roman"/>
          <w:szCs w:val="24"/>
          <w:lang w:val="en-GB"/>
        </w:rPr>
      </w:pPr>
      <w:r w:rsidRPr="00D31979">
        <w:rPr>
          <w:rFonts w:cs="Times New Roman"/>
          <w:szCs w:val="24"/>
          <w:lang w:val="en-GB"/>
        </w:rPr>
        <w:t>December</w:t>
      </w:r>
      <w:r w:rsidR="00832706" w:rsidRPr="00D31979">
        <w:rPr>
          <w:rFonts w:cs="Times New Roman"/>
          <w:szCs w:val="24"/>
          <w:lang w:val="en-GB"/>
        </w:rPr>
        <w:t xml:space="preserve"> 2011</w:t>
      </w:r>
    </w:p>
    <w:p w:rsidR="00A706B9" w:rsidRPr="00D31979" w:rsidRDefault="00832706" w:rsidP="00A706B9">
      <w:pPr>
        <w:spacing w:after="0"/>
        <w:jc w:val="center"/>
        <w:rPr>
          <w:rFonts w:cs="Times New Roman"/>
          <w:szCs w:val="24"/>
          <w:lang w:val="en-GB"/>
        </w:rPr>
      </w:pPr>
      <w:r w:rsidRPr="00D31979">
        <w:rPr>
          <w:rFonts w:cs="Times New Roman"/>
          <w:szCs w:val="24"/>
          <w:lang w:val="en-GB"/>
        </w:rPr>
        <w:t>Ri</w:t>
      </w:r>
      <w:r w:rsidR="00A706B9" w:rsidRPr="00D31979">
        <w:rPr>
          <w:rFonts w:cs="Times New Roman"/>
          <w:szCs w:val="24"/>
          <w:lang w:val="en-GB"/>
        </w:rPr>
        <w:t>ga</w:t>
      </w:r>
    </w:p>
    <w:p w:rsidR="00A706B9" w:rsidRPr="00D31979" w:rsidRDefault="00A706B9">
      <w:pPr>
        <w:rPr>
          <w:position w:val="-60"/>
          <w:lang w:val="en-GB"/>
        </w:rPr>
      </w:pPr>
      <w:r w:rsidRPr="00D31979">
        <w:rPr>
          <w:position w:val="-60"/>
          <w:lang w:val="en-GB"/>
        </w:rPr>
        <w:br w:type="page"/>
      </w:r>
    </w:p>
    <w:p w:rsidR="00FC6076" w:rsidRPr="00D31979" w:rsidRDefault="00FC6076">
      <w:pPr>
        <w:rPr>
          <w:rFonts w:asciiTheme="majorHAnsi" w:hAnsiTheme="majorHAnsi"/>
          <w:b/>
          <w:color w:val="365F91" w:themeColor="accent1" w:themeShade="BF"/>
          <w:position w:val="-60"/>
          <w:sz w:val="28"/>
          <w:szCs w:val="28"/>
          <w:lang w:val="en-GB"/>
        </w:rPr>
      </w:pPr>
    </w:p>
    <w:p w:rsidR="00FC6076" w:rsidRPr="00D31979" w:rsidRDefault="00FC6076">
      <w:pPr>
        <w:rPr>
          <w:rFonts w:asciiTheme="majorHAnsi" w:hAnsiTheme="majorHAnsi"/>
          <w:b/>
          <w:color w:val="365F91" w:themeColor="accent1" w:themeShade="BF"/>
          <w:position w:val="-60"/>
          <w:sz w:val="28"/>
          <w:szCs w:val="28"/>
          <w:lang w:val="en-GB"/>
        </w:rPr>
      </w:pPr>
    </w:p>
    <w:p w:rsidR="00FC6076" w:rsidRPr="00D31979" w:rsidRDefault="00FC6076">
      <w:pPr>
        <w:rPr>
          <w:rFonts w:asciiTheme="majorHAnsi" w:hAnsiTheme="majorHAnsi"/>
          <w:b/>
          <w:color w:val="365F91" w:themeColor="accent1" w:themeShade="BF"/>
          <w:position w:val="-60"/>
          <w:sz w:val="28"/>
          <w:szCs w:val="28"/>
          <w:lang w:val="en-GB"/>
        </w:rPr>
      </w:pPr>
    </w:p>
    <w:p w:rsidR="00D57A94" w:rsidRPr="00D31979" w:rsidRDefault="00755CE5">
      <w:pPr>
        <w:rPr>
          <w:rFonts w:asciiTheme="majorHAnsi" w:hAnsiTheme="majorHAnsi"/>
          <w:b/>
          <w:color w:val="365F91" w:themeColor="accent1" w:themeShade="BF"/>
          <w:position w:val="-60"/>
          <w:sz w:val="28"/>
          <w:szCs w:val="28"/>
          <w:lang w:val="en-GB"/>
        </w:rPr>
      </w:pPr>
      <w:r w:rsidRPr="00D31979">
        <w:rPr>
          <w:rFonts w:asciiTheme="majorHAnsi" w:hAnsiTheme="majorHAnsi"/>
          <w:b/>
          <w:color w:val="365F91" w:themeColor="accent1" w:themeShade="BF"/>
          <w:position w:val="-60"/>
          <w:sz w:val="28"/>
          <w:szCs w:val="28"/>
          <w:lang w:val="en-GB"/>
        </w:rPr>
        <w:t>Table of Contents</w:t>
      </w:r>
    </w:p>
    <w:p w:rsidR="00B12A83" w:rsidRDefault="00CC24B1">
      <w:pPr>
        <w:pStyle w:val="TOC1"/>
        <w:tabs>
          <w:tab w:val="left" w:pos="440"/>
        </w:tabs>
        <w:rPr>
          <w:rFonts w:asciiTheme="minorHAnsi" w:eastAsiaTheme="minorEastAsia" w:hAnsiTheme="minorHAnsi"/>
          <w:noProof/>
          <w:sz w:val="22"/>
        </w:rPr>
      </w:pPr>
      <w:r w:rsidRPr="00D31979">
        <w:rPr>
          <w:lang w:val="en-GB"/>
        </w:rPr>
        <w:fldChar w:fldCharType="begin"/>
      </w:r>
      <w:r w:rsidRPr="00D31979">
        <w:rPr>
          <w:lang w:val="en-GB"/>
        </w:rPr>
        <w:instrText xml:space="preserve"> TOC \o "1-2" \h \z \u </w:instrText>
      </w:r>
      <w:r w:rsidRPr="00D31979">
        <w:rPr>
          <w:lang w:val="en-GB"/>
        </w:rPr>
        <w:fldChar w:fldCharType="separate"/>
      </w:r>
      <w:hyperlink w:anchor="_Toc312172601" w:history="1">
        <w:r w:rsidR="00B12A83" w:rsidRPr="00C53EC4">
          <w:rPr>
            <w:rStyle w:val="Hyperlink"/>
            <w:noProof/>
            <w:lang w:val="en-GB"/>
          </w:rPr>
          <w:t>1.</w:t>
        </w:r>
        <w:r w:rsidR="00B12A83">
          <w:rPr>
            <w:rFonts w:asciiTheme="minorHAnsi" w:eastAsiaTheme="minorEastAsia" w:hAnsiTheme="minorHAnsi"/>
            <w:noProof/>
            <w:sz w:val="22"/>
          </w:rPr>
          <w:tab/>
        </w:r>
        <w:r w:rsidR="00B12A83" w:rsidRPr="00C53EC4">
          <w:rPr>
            <w:rStyle w:val="Hyperlink"/>
            <w:noProof/>
            <w:lang w:val="en-GB"/>
          </w:rPr>
          <w:t>Modelling approach</w:t>
        </w:r>
        <w:r w:rsidR="00B12A83">
          <w:rPr>
            <w:noProof/>
            <w:webHidden/>
          </w:rPr>
          <w:tab/>
        </w:r>
        <w:r w:rsidR="00B12A83">
          <w:rPr>
            <w:noProof/>
            <w:webHidden/>
          </w:rPr>
          <w:fldChar w:fldCharType="begin"/>
        </w:r>
        <w:r w:rsidR="00B12A83">
          <w:rPr>
            <w:noProof/>
            <w:webHidden/>
          </w:rPr>
          <w:instrText xml:space="preserve"> PAGEREF _Toc312172601 \h </w:instrText>
        </w:r>
        <w:r w:rsidR="00B12A83">
          <w:rPr>
            <w:noProof/>
            <w:webHidden/>
          </w:rPr>
        </w:r>
        <w:r w:rsidR="00B12A83">
          <w:rPr>
            <w:noProof/>
            <w:webHidden/>
          </w:rPr>
          <w:fldChar w:fldCharType="separate"/>
        </w:r>
        <w:r w:rsidR="00B12A83">
          <w:rPr>
            <w:noProof/>
            <w:webHidden/>
          </w:rPr>
          <w:t>3</w:t>
        </w:r>
        <w:r w:rsidR="00B12A83">
          <w:rPr>
            <w:noProof/>
            <w:webHidden/>
          </w:rPr>
          <w:fldChar w:fldCharType="end"/>
        </w:r>
      </w:hyperlink>
    </w:p>
    <w:p w:rsidR="00B12A83" w:rsidRDefault="0075255F">
      <w:pPr>
        <w:pStyle w:val="TOC2"/>
        <w:tabs>
          <w:tab w:val="left" w:pos="880"/>
          <w:tab w:val="right" w:leader="dot" w:pos="9017"/>
        </w:tabs>
        <w:rPr>
          <w:rFonts w:asciiTheme="minorHAnsi" w:eastAsiaTheme="minorEastAsia" w:hAnsiTheme="minorHAnsi"/>
          <w:noProof/>
          <w:sz w:val="22"/>
        </w:rPr>
      </w:pPr>
      <w:hyperlink w:anchor="_Toc312172602" w:history="1">
        <w:r w:rsidR="00B12A83" w:rsidRPr="00C53EC4">
          <w:rPr>
            <w:rStyle w:val="Hyperlink"/>
            <w:noProof/>
            <w:lang w:val="en-GB"/>
          </w:rPr>
          <w:t>1.1.</w:t>
        </w:r>
        <w:r w:rsidR="00B12A83">
          <w:rPr>
            <w:rFonts w:asciiTheme="minorHAnsi" w:eastAsiaTheme="minorEastAsia" w:hAnsiTheme="minorHAnsi"/>
            <w:noProof/>
            <w:sz w:val="22"/>
          </w:rPr>
          <w:tab/>
        </w:r>
        <w:r w:rsidR="00B12A83" w:rsidRPr="00C53EC4">
          <w:rPr>
            <w:rStyle w:val="Hyperlink"/>
            <w:noProof/>
            <w:lang w:val="en-GB"/>
          </w:rPr>
          <w:t>Short description of the structure of the model</w:t>
        </w:r>
        <w:r w:rsidR="00B12A83">
          <w:rPr>
            <w:noProof/>
            <w:webHidden/>
          </w:rPr>
          <w:tab/>
        </w:r>
        <w:r w:rsidR="00B12A83">
          <w:rPr>
            <w:noProof/>
            <w:webHidden/>
          </w:rPr>
          <w:fldChar w:fldCharType="begin"/>
        </w:r>
        <w:r w:rsidR="00B12A83">
          <w:rPr>
            <w:noProof/>
            <w:webHidden/>
          </w:rPr>
          <w:instrText xml:space="preserve"> PAGEREF _Toc312172602 \h </w:instrText>
        </w:r>
        <w:r w:rsidR="00B12A83">
          <w:rPr>
            <w:noProof/>
            <w:webHidden/>
          </w:rPr>
        </w:r>
        <w:r w:rsidR="00B12A83">
          <w:rPr>
            <w:noProof/>
            <w:webHidden/>
          </w:rPr>
          <w:fldChar w:fldCharType="separate"/>
        </w:r>
        <w:r w:rsidR="00B12A83">
          <w:rPr>
            <w:noProof/>
            <w:webHidden/>
          </w:rPr>
          <w:t>4</w:t>
        </w:r>
        <w:r w:rsidR="00B12A83">
          <w:rPr>
            <w:noProof/>
            <w:webHidden/>
          </w:rPr>
          <w:fldChar w:fldCharType="end"/>
        </w:r>
      </w:hyperlink>
    </w:p>
    <w:p w:rsidR="00B12A83" w:rsidRDefault="0075255F">
      <w:pPr>
        <w:pStyle w:val="TOC1"/>
        <w:tabs>
          <w:tab w:val="left" w:pos="440"/>
        </w:tabs>
        <w:rPr>
          <w:rFonts w:asciiTheme="minorHAnsi" w:eastAsiaTheme="minorEastAsia" w:hAnsiTheme="minorHAnsi"/>
          <w:noProof/>
          <w:sz w:val="22"/>
        </w:rPr>
      </w:pPr>
      <w:hyperlink w:anchor="_Toc312172603" w:history="1">
        <w:r w:rsidR="00B12A83" w:rsidRPr="00C53EC4">
          <w:rPr>
            <w:rStyle w:val="Hyperlink"/>
            <w:noProof/>
            <w:lang w:val="en-GB"/>
          </w:rPr>
          <w:t>2.</w:t>
        </w:r>
        <w:r w:rsidR="00B12A83">
          <w:rPr>
            <w:rFonts w:asciiTheme="minorHAnsi" w:eastAsiaTheme="minorEastAsia" w:hAnsiTheme="minorHAnsi"/>
            <w:noProof/>
            <w:sz w:val="22"/>
          </w:rPr>
          <w:tab/>
        </w:r>
        <w:r w:rsidR="00B12A83" w:rsidRPr="00C53EC4">
          <w:rPr>
            <w:rStyle w:val="Hyperlink"/>
            <w:noProof/>
            <w:lang w:val="en-GB"/>
          </w:rPr>
          <w:t>Inclusion of funds in the model</w:t>
        </w:r>
        <w:r w:rsidR="00B12A83">
          <w:rPr>
            <w:noProof/>
            <w:webHidden/>
          </w:rPr>
          <w:tab/>
        </w:r>
        <w:r w:rsidR="00B12A83">
          <w:rPr>
            <w:noProof/>
            <w:webHidden/>
          </w:rPr>
          <w:fldChar w:fldCharType="begin"/>
        </w:r>
        <w:r w:rsidR="00B12A83">
          <w:rPr>
            <w:noProof/>
            <w:webHidden/>
          </w:rPr>
          <w:instrText xml:space="preserve"> PAGEREF _Toc312172603 \h </w:instrText>
        </w:r>
        <w:r w:rsidR="00B12A83">
          <w:rPr>
            <w:noProof/>
            <w:webHidden/>
          </w:rPr>
        </w:r>
        <w:r w:rsidR="00B12A83">
          <w:rPr>
            <w:noProof/>
            <w:webHidden/>
          </w:rPr>
          <w:fldChar w:fldCharType="separate"/>
        </w:r>
        <w:r w:rsidR="00B12A83">
          <w:rPr>
            <w:noProof/>
            <w:webHidden/>
          </w:rPr>
          <w:t>4</w:t>
        </w:r>
        <w:r w:rsidR="00B12A83">
          <w:rPr>
            <w:noProof/>
            <w:webHidden/>
          </w:rPr>
          <w:fldChar w:fldCharType="end"/>
        </w:r>
      </w:hyperlink>
    </w:p>
    <w:p w:rsidR="00B12A83" w:rsidRDefault="0075255F">
      <w:pPr>
        <w:pStyle w:val="TOC2"/>
        <w:tabs>
          <w:tab w:val="left" w:pos="880"/>
          <w:tab w:val="right" w:leader="dot" w:pos="9017"/>
        </w:tabs>
        <w:rPr>
          <w:rFonts w:asciiTheme="minorHAnsi" w:eastAsiaTheme="minorEastAsia" w:hAnsiTheme="minorHAnsi"/>
          <w:noProof/>
          <w:sz w:val="22"/>
        </w:rPr>
      </w:pPr>
      <w:hyperlink w:anchor="_Toc312172604" w:history="1">
        <w:r w:rsidR="00B12A83" w:rsidRPr="00C53EC4">
          <w:rPr>
            <w:rStyle w:val="Hyperlink"/>
            <w:noProof/>
            <w:lang w:val="en-GB"/>
          </w:rPr>
          <w:t>2.1.</w:t>
        </w:r>
        <w:r w:rsidR="00B12A83">
          <w:rPr>
            <w:rFonts w:asciiTheme="minorHAnsi" w:eastAsiaTheme="minorEastAsia" w:hAnsiTheme="minorHAnsi"/>
            <w:noProof/>
            <w:sz w:val="22"/>
          </w:rPr>
          <w:tab/>
        </w:r>
        <w:r w:rsidR="00B12A83" w:rsidRPr="00C53EC4">
          <w:rPr>
            <w:rStyle w:val="Hyperlink"/>
            <w:noProof/>
            <w:lang w:val="en-GB"/>
          </w:rPr>
          <w:t>Fund classification</w:t>
        </w:r>
        <w:r w:rsidR="00B12A83">
          <w:rPr>
            <w:noProof/>
            <w:webHidden/>
          </w:rPr>
          <w:tab/>
        </w:r>
        <w:r w:rsidR="00B12A83">
          <w:rPr>
            <w:noProof/>
            <w:webHidden/>
          </w:rPr>
          <w:fldChar w:fldCharType="begin"/>
        </w:r>
        <w:r w:rsidR="00B12A83">
          <w:rPr>
            <w:noProof/>
            <w:webHidden/>
          </w:rPr>
          <w:instrText xml:space="preserve"> PAGEREF _Toc312172604 \h </w:instrText>
        </w:r>
        <w:r w:rsidR="00B12A83">
          <w:rPr>
            <w:noProof/>
            <w:webHidden/>
          </w:rPr>
        </w:r>
        <w:r w:rsidR="00B12A83">
          <w:rPr>
            <w:noProof/>
            <w:webHidden/>
          </w:rPr>
          <w:fldChar w:fldCharType="separate"/>
        </w:r>
        <w:r w:rsidR="00B12A83">
          <w:rPr>
            <w:noProof/>
            <w:webHidden/>
          </w:rPr>
          <w:t>4</w:t>
        </w:r>
        <w:r w:rsidR="00B12A83">
          <w:rPr>
            <w:noProof/>
            <w:webHidden/>
          </w:rPr>
          <w:fldChar w:fldCharType="end"/>
        </w:r>
      </w:hyperlink>
    </w:p>
    <w:p w:rsidR="00B12A83" w:rsidRDefault="0075255F">
      <w:pPr>
        <w:pStyle w:val="TOC2"/>
        <w:tabs>
          <w:tab w:val="left" w:pos="880"/>
          <w:tab w:val="right" w:leader="dot" w:pos="9017"/>
        </w:tabs>
        <w:rPr>
          <w:rFonts w:asciiTheme="minorHAnsi" w:eastAsiaTheme="minorEastAsia" w:hAnsiTheme="minorHAnsi"/>
          <w:noProof/>
          <w:sz w:val="22"/>
        </w:rPr>
      </w:pPr>
      <w:hyperlink w:anchor="_Toc312172605" w:history="1">
        <w:r w:rsidR="00B12A83" w:rsidRPr="00C53EC4">
          <w:rPr>
            <w:rStyle w:val="Hyperlink"/>
            <w:noProof/>
            <w:lang w:val="en-GB"/>
          </w:rPr>
          <w:t>2.2.</w:t>
        </w:r>
        <w:r w:rsidR="00B12A83">
          <w:rPr>
            <w:rFonts w:asciiTheme="minorHAnsi" w:eastAsiaTheme="minorEastAsia" w:hAnsiTheme="minorHAnsi"/>
            <w:noProof/>
            <w:sz w:val="22"/>
          </w:rPr>
          <w:tab/>
        </w:r>
        <w:r w:rsidR="00B12A83" w:rsidRPr="00C53EC4">
          <w:rPr>
            <w:rStyle w:val="Hyperlink"/>
            <w:noProof/>
            <w:lang w:val="en-GB"/>
          </w:rPr>
          <w:t>Methodology for modelling the impact of funds</w:t>
        </w:r>
        <w:r w:rsidR="00B12A83">
          <w:rPr>
            <w:noProof/>
            <w:webHidden/>
          </w:rPr>
          <w:tab/>
        </w:r>
        <w:r w:rsidR="00B12A83">
          <w:rPr>
            <w:noProof/>
            <w:webHidden/>
          </w:rPr>
          <w:fldChar w:fldCharType="begin"/>
        </w:r>
        <w:r w:rsidR="00B12A83">
          <w:rPr>
            <w:noProof/>
            <w:webHidden/>
          </w:rPr>
          <w:instrText xml:space="preserve"> PAGEREF _Toc312172605 \h </w:instrText>
        </w:r>
        <w:r w:rsidR="00B12A83">
          <w:rPr>
            <w:noProof/>
            <w:webHidden/>
          </w:rPr>
        </w:r>
        <w:r w:rsidR="00B12A83">
          <w:rPr>
            <w:noProof/>
            <w:webHidden/>
          </w:rPr>
          <w:fldChar w:fldCharType="separate"/>
        </w:r>
        <w:r w:rsidR="00B12A83">
          <w:rPr>
            <w:noProof/>
            <w:webHidden/>
          </w:rPr>
          <w:t>8</w:t>
        </w:r>
        <w:r w:rsidR="00B12A83">
          <w:rPr>
            <w:noProof/>
            <w:webHidden/>
          </w:rPr>
          <w:fldChar w:fldCharType="end"/>
        </w:r>
      </w:hyperlink>
    </w:p>
    <w:p w:rsidR="00B12A83" w:rsidRDefault="0075255F">
      <w:pPr>
        <w:pStyle w:val="TOC1"/>
        <w:tabs>
          <w:tab w:val="left" w:pos="440"/>
        </w:tabs>
        <w:rPr>
          <w:rFonts w:asciiTheme="minorHAnsi" w:eastAsiaTheme="minorEastAsia" w:hAnsiTheme="minorHAnsi"/>
          <w:noProof/>
          <w:sz w:val="22"/>
        </w:rPr>
      </w:pPr>
      <w:hyperlink w:anchor="_Toc312172606" w:history="1">
        <w:r w:rsidR="00B12A83" w:rsidRPr="00C53EC4">
          <w:rPr>
            <w:rStyle w:val="Hyperlink"/>
            <w:noProof/>
            <w:lang w:val="en-GB"/>
          </w:rPr>
          <w:t>3.</w:t>
        </w:r>
        <w:r w:rsidR="00B12A83">
          <w:rPr>
            <w:rFonts w:asciiTheme="minorHAnsi" w:eastAsiaTheme="minorEastAsia" w:hAnsiTheme="minorHAnsi"/>
            <w:noProof/>
            <w:sz w:val="22"/>
          </w:rPr>
          <w:tab/>
        </w:r>
        <w:r w:rsidR="00B12A83" w:rsidRPr="00C53EC4">
          <w:rPr>
            <w:rStyle w:val="Hyperlink"/>
            <w:noProof/>
            <w:lang w:val="en-GB"/>
          </w:rPr>
          <w:t>Results</w:t>
        </w:r>
        <w:r w:rsidR="00B12A83">
          <w:rPr>
            <w:noProof/>
            <w:webHidden/>
          </w:rPr>
          <w:tab/>
        </w:r>
        <w:r w:rsidR="00B12A83">
          <w:rPr>
            <w:noProof/>
            <w:webHidden/>
          </w:rPr>
          <w:fldChar w:fldCharType="begin"/>
        </w:r>
        <w:r w:rsidR="00B12A83">
          <w:rPr>
            <w:noProof/>
            <w:webHidden/>
          </w:rPr>
          <w:instrText xml:space="preserve"> PAGEREF _Toc312172606 \h </w:instrText>
        </w:r>
        <w:r w:rsidR="00B12A83">
          <w:rPr>
            <w:noProof/>
            <w:webHidden/>
          </w:rPr>
        </w:r>
        <w:r w:rsidR="00B12A83">
          <w:rPr>
            <w:noProof/>
            <w:webHidden/>
          </w:rPr>
          <w:fldChar w:fldCharType="separate"/>
        </w:r>
        <w:r w:rsidR="00B12A83">
          <w:rPr>
            <w:noProof/>
            <w:webHidden/>
          </w:rPr>
          <w:t>10</w:t>
        </w:r>
        <w:r w:rsidR="00B12A83">
          <w:rPr>
            <w:noProof/>
            <w:webHidden/>
          </w:rPr>
          <w:fldChar w:fldCharType="end"/>
        </w:r>
      </w:hyperlink>
    </w:p>
    <w:p w:rsidR="00B12A83" w:rsidRDefault="0075255F">
      <w:pPr>
        <w:pStyle w:val="TOC2"/>
        <w:tabs>
          <w:tab w:val="left" w:pos="880"/>
          <w:tab w:val="right" w:leader="dot" w:pos="9017"/>
        </w:tabs>
        <w:rPr>
          <w:rFonts w:asciiTheme="minorHAnsi" w:eastAsiaTheme="minorEastAsia" w:hAnsiTheme="minorHAnsi"/>
          <w:noProof/>
          <w:sz w:val="22"/>
        </w:rPr>
      </w:pPr>
      <w:hyperlink w:anchor="_Toc312172607" w:history="1">
        <w:r w:rsidR="00B12A83" w:rsidRPr="00C53EC4">
          <w:rPr>
            <w:rStyle w:val="Hyperlink"/>
            <w:noProof/>
            <w:lang w:val="en-GB"/>
          </w:rPr>
          <w:t>3.1.</w:t>
        </w:r>
        <w:r w:rsidR="00B12A83">
          <w:rPr>
            <w:rFonts w:asciiTheme="minorHAnsi" w:eastAsiaTheme="minorEastAsia" w:hAnsiTheme="minorHAnsi"/>
            <w:noProof/>
            <w:sz w:val="22"/>
          </w:rPr>
          <w:tab/>
        </w:r>
        <w:r w:rsidR="00B12A83" w:rsidRPr="00C53EC4">
          <w:rPr>
            <w:rStyle w:val="Hyperlink"/>
            <w:noProof/>
            <w:lang w:val="en-GB"/>
          </w:rPr>
          <w:t>The impact of funds of the 2004-2006 and 2007-2013 planning periods on the main macroeconomic indicators</w:t>
        </w:r>
        <w:r w:rsidR="00B12A83">
          <w:rPr>
            <w:noProof/>
            <w:webHidden/>
          </w:rPr>
          <w:tab/>
        </w:r>
        <w:r w:rsidR="00B12A83">
          <w:rPr>
            <w:noProof/>
            <w:webHidden/>
          </w:rPr>
          <w:fldChar w:fldCharType="begin"/>
        </w:r>
        <w:r w:rsidR="00B12A83">
          <w:rPr>
            <w:noProof/>
            <w:webHidden/>
          </w:rPr>
          <w:instrText xml:space="preserve"> PAGEREF _Toc312172607 \h </w:instrText>
        </w:r>
        <w:r w:rsidR="00B12A83">
          <w:rPr>
            <w:noProof/>
            <w:webHidden/>
          </w:rPr>
        </w:r>
        <w:r w:rsidR="00B12A83">
          <w:rPr>
            <w:noProof/>
            <w:webHidden/>
          </w:rPr>
          <w:fldChar w:fldCharType="separate"/>
        </w:r>
        <w:r w:rsidR="00B12A83">
          <w:rPr>
            <w:noProof/>
            <w:webHidden/>
          </w:rPr>
          <w:t>10</w:t>
        </w:r>
        <w:r w:rsidR="00B12A83">
          <w:rPr>
            <w:noProof/>
            <w:webHidden/>
          </w:rPr>
          <w:fldChar w:fldCharType="end"/>
        </w:r>
      </w:hyperlink>
    </w:p>
    <w:p w:rsidR="00B12A83" w:rsidRDefault="0075255F">
      <w:pPr>
        <w:pStyle w:val="TOC2"/>
        <w:tabs>
          <w:tab w:val="left" w:pos="880"/>
          <w:tab w:val="right" w:leader="dot" w:pos="9017"/>
        </w:tabs>
        <w:rPr>
          <w:rFonts w:asciiTheme="minorHAnsi" w:eastAsiaTheme="minorEastAsia" w:hAnsiTheme="minorHAnsi"/>
          <w:noProof/>
          <w:sz w:val="22"/>
        </w:rPr>
      </w:pPr>
      <w:hyperlink w:anchor="_Toc312172608" w:history="1">
        <w:r w:rsidR="00B12A83" w:rsidRPr="00C53EC4">
          <w:rPr>
            <w:rStyle w:val="Hyperlink"/>
            <w:noProof/>
            <w:lang w:val="en-GB"/>
          </w:rPr>
          <w:t>3.2.</w:t>
        </w:r>
        <w:r w:rsidR="00B12A83">
          <w:rPr>
            <w:rFonts w:asciiTheme="minorHAnsi" w:eastAsiaTheme="minorEastAsia" w:hAnsiTheme="minorHAnsi"/>
            <w:noProof/>
            <w:sz w:val="22"/>
          </w:rPr>
          <w:tab/>
        </w:r>
        <w:r w:rsidR="00B12A83" w:rsidRPr="00C53EC4">
          <w:rPr>
            <w:rStyle w:val="Hyperlink"/>
            <w:noProof/>
            <w:lang w:val="en-GB"/>
          </w:rPr>
          <w:t>The impact of funds by priority</w:t>
        </w:r>
        <w:r w:rsidR="00B12A83">
          <w:rPr>
            <w:noProof/>
            <w:webHidden/>
          </w:rPr>
          <w:tab/>
        </w:r>
        <w:r w:rsidR="00B12A83">
          <w:rPr>
            <w:noProof/>
            <w:webHidden/>
          </w:rPr>
          <w:fldChar w:fldCharType="begin"/>
        </w:r>
        <w:r w:rsidR="00B12A83">
          <w:rPr>
            <w:noProof/>
            <w:webHidden/>
          </w:rPr>
          <w:instrText xml:space="preserve"> PAGEREF _Toc312172608 \h </w:instrText>
        </w:r>
        <w:r w:rsidR="00B12A83">
          <w:rPr>
            <w:noProof/>
            <w:webHidden/>
          </w:rPr>
        </w:r>
        <w:r w:rsidR="00B12A83">
          <w:rPr>
            <w:noProof/>
            <w:webHidden/>
          </w:rPr>
          <w:fldChar w:fldCharType="separate"/>
        </w:r>
        <w:r w:rsidR="00B12A83">
          <w:rPr>
            <w:noProof/>
            <w:webHidden/>
          </w:rPr>
          <w:t>16</w:t>
        </w:r>
        <w:r w:rsidR="00B12A83">
          <w:rPr>
            <w:noProof/>
            <w:webHidden/>
          </w:rPr>
          <w:fldChar w:fldCharType="end"/>
        </w:r>
      </w:hyperlink>
    </w:p>
    <w:p w:rsidR="00B12A83" w:rsidRDefault="0075255F">
      <w:pPr>
        <w:pStyle w:val="TOC1"/>
        <w:tabs>
          <w:tab w:val="left" w:pos="440"/>
        </w:tabs>
        <w:rPr>
          <w:rFonts w:asciiTheme="minorHAnsi" w:eastAsiaTheme="minorEastAsia" w:hAnsiTheme="minorHAnsi"/>
          <w:noProof/>
          <w:sz w:val="22"/>
        </w:rPr>
      </w:pPr>
      <w:hyperlink w:anchor="_Toc312172609" w:history="1">
        <w:r w:rsidR="00B12A83" w:rsidRPr="00C53EC4">
          <w:rPr>
            <w:rStyle w:val="Hyperlink"/>
            <w:noProof/>
            <w:lang w:val="en-GB"/>
          </w:rPr>
          <w:t>4.</w:t>
        </w:r>
        <w:r w:rsidR="00B12A83">
          <w:rPr>
            <w:rFonts w:asciiTheme="minorHAnsi" w:eastAsiaTheme="minorEastAsia" w:hAnsiTheme="minorHAnsi"/>
            <w:noProof/>
            <w:sz w:val="22"/>
          </w:rPr>
          <w:tab/>
        </w:r>
        <w:r w:rsidR="00B12A83" w:rsidRPr="00C53EC4">
          <w:rPr>
            <w:rStyle w:val="Hyperlink"/>
            <w:noProof/>
            <w:lang w:val="en-GB"/>
          </w:rPr>
          <w:t>Conclusions</w:t>
        </w:r>
        <w:r w:rsidR="00B12A83">
          <w:rPr>
            <w:noProof/>
            <w:webHidden/>
          </w:rPr>
          <w:tab/>
        </w:r>
        <w:r w:rsidR="00B12A83">
          <w:rPr>
            <w:noProof/>
            <w:webHidden/>
          </w:rPr>
          <w:fldChar w:fldCharType="begin"/>
        </w:r>
        <w:r w:rsidR="00B12A83">
          <w:rPr>
            <w:noProof/>
            <w:webHidden/>
          </w:rPr>
          <w:instrText xml:space="preserve"> PAGEREF _Toc312172609 \h </w:instrText>
        </w:r>
        <w:r w:rsidR="00B12A83">
          <w:rPr>
            <w:noProof/>
            <w:webHidden/>
          </w:rPr>
        </w:r>
        <w:r w:rsidR="00B12A83">
          <w:rPr>
            <w:noProof/>
            <w:webHidden/>
          </w:rPr>
          <w:fldChar w:fldCharType="separate"/>
        </w:r>
        <w:r w:rsidR="00B12A83">
          <w:rPr>
            <w:noProof/>
            <w:webHidden/>
          </w:rPr>
          <w:t>21</w:t>
        </w:r>
        <w:r w:rsidR="00B12A83">
          <w:rPr>
            <w:noProof/>
            <w:webHidden/>
          </w:rPr>
          <w:fldChar w:fldCharType="end"/>
        </w:r>
      </w:hyperlink>
    </w:p>
    <w:p w:rsidR="00B12A83" w:rsidRDefault="0075255F">
      <w:pPr>
        <w:pStyle w:val="TOC1"/>
        <w:rPr>
          <w:rFonts w:asciiTheme="minorHAnsi" w:eastAsiaTheme="minorEastAsia" w:hAnsiTheme="minorHAnsi"/>
          <w:noProof/>
          <w:sz w:val="22"/>
        </w:rPr>
      </w:pPr>
      <w:hyperlink w:anchor="_Toc312172610" w:history="1">
        <w:r w:rsidR="00B12A83" w:rsidRPr="00C53EC4">
          <w:rPr>
            <w:rStyle w:val="Hyperlink"/>
            <w:noProof/>
            <w:lang w:val="en-GB"/>
          </w:rPr>
          <w:t>Bibliography</w:t>
        </w:r>
        <w:r w:rsidR="00B12A83">
          <w:rPr>
            <w:noProof/>
            <w:webHidden/>
          </w:rPr>
          <w:tab/>
        </w:r>
        <w:r w:rsidR="00B12A83">
          <w:rPr>
            <w:noProof/>
            <w:webHidden/>
          </w:rPr>
          <w:fldChar w:fldCharType="begin"/>
        </w:r>
        <w:r w:rsidR="00B12A83">
          <w:rPr>
            <w:noProof/>
            <w:webHidden/>
          </w:rPr>
          <w:instrText xml:space="preserve"> PAGEREF _Toc312172610 \h </w:instrText>
        </w:r>
        <w:r w:rsidR="00B12A83">
          <w:rPr>
            <w:noProof/>
            <w:webHidden/>
          </w:rPr>
        </w:r>
        <w:r w:rsidR="00B12A83">
          <w:rPr>
            <w:noProof/>
            <w:webHidden/>
          </w:rPr>
          <w:fldChar w:fldCharType="separate"/>
        </w:r>
        <w:r w:rsidR="00B12A83">
          <w:rPr>
            <w:noProof/>
            <w:webHidden/>
          </w:rPr>
          <w:t>23</w:t>
        </w:r>
        <w:r w:rsidR="00B12A83">
          <w:rPr>
            <w:noProof/>
            <w:webHidden/>
          </w:rPr>
          <w:fldChar w:fldCharType="end"/>
        </w:r>
      </w:hyperlink>
    </w:p>
    <w:p w:rsidR="00B12A83" w:rsidRDefault="0075255F">
      <w:pPr>
        <w:pStyle w:val="TOC1"/>
        <w:rPr>
          <w:rFonts w:asciiTheme="minorHAnsi" w:eastAsiaTheme="minorEastAsia" w:hAnsiTheme="minorHAnsi"/>
          <w:noProof/>
          <w:sz w:val="22"/>
        </w:rPr>
      </w:pPr>
      <w:hyperlink w:anchor="_Toc312172611" w:history="1">
        <w:r w:rsidR="00B12A83" w:rsidRPr="00C53EC4">
          <w:rPr>
            <w:rStyle w:val="Hyperlink"/>
            <w:noProof/>
            <w:lang w:val="en-GB"/>
          </w:rPr>
          <w:t>Annex</w:t>
        </w:r>
        <w:r w:rsidR="00B12A83">
          <w:rPr>
            <w:noProof/>
            <w:webHidden/>
          </w:rPr>
          <w:tab/>
        </w:r>
        <w:r w:rsidR="00B12A83">
          <w:rPr>
            <w:noProof/>
            <w:webHidden/>
          </w:rPr>
          <w:fldChar w:fldCharType="begin"/>
        </w:r>
        <w:r w:rsidR="00B12A83">
          <w:rPr>
            <w:noProof/>
            <w:webHidden/>
          </w:rPr>
          <w:instrText xml:space="preserve"> PAGEREF _Toc312172611 \h </w:instrText>
        </w:r>
        <w:r w:rsidR="00B12A83">
          <w:rPr>
            <w:noProof/>
            <w:webHidden/>
          </w:rPr>
        </w:r>
        <w:r w:rsidR="00B12A83">
          <w:rPr>
            <w:noProof/>
            <w:webHidden/>
          </w:rPr>
          <w:fldChar w:fldCharType="separate"/>
        </w:r>
        <w:r w:rsidR="00B12A83">
          <w:rPr>
            <w:noProof/>
            <w:webHidden/>
          </w:rPr>
          <w:t>24</w:t>
        </w:r>
        <w:r w:rsidR="00B12A83">
          <w:rPr>
            <w:noProof/>
            <w:webHidden/>
          </w:rPr>
          <w:fldChar w:fldCharType="end"/>
        </w:r>
      </w:hyperlink>
    </w:p>
    <w:p w:rsidR="00FC6076" w:rsidRPr="00D31979" w:rsidRDefault="00CC24B1" w:rsidP="00FC6076">
      <w:pPr>
        <w:rPr>
          <w:lang w:val="en-GB"/>
        </w:rPr>
      </w:pPr>
      <w:r w:rsidRPr="00D31979">
        <w:rPr>
          <w:lang w:val="en-GB"/>
        </w:rPr>
        <w:fldChar w:fldCharType="end"/>
      </w:r>
    </w:p>
    <w:p w:rsidR="00D57A94" w:rsidRPr="00D31979" w:rsidRDefault="00D57A94">
      <w:pPr>
        <w:rPr>
          <w:position w:val="-60"/>
          <w:lang w:val="en-GB"/>
        </w:rPr>
      </w:pPr>
      <w:r w:rsidRPr="00D31979">
        <w:rPr>
          <w:position w:val="-60"/>
          <w:lang w:val="en-GB"/>
        </w:rPr>
        <w:br w:type="page"/>
      </w:r>
    </w:p>
    <w:p w:rsidR="00FC6076" w:rsidRPr="00D31979" w:rsidRDefault="00FC6076">
      <w:pPr>
        <w:rPr>
          <w:position w:val="-60"/>
          <w:lang w:val="en-GB"/>
        </w:rPr>
      </w:pPr>
    </w:p>
    <w:p w:rsidR="00A706B9" w:rsidRPr="00D31979" w:rsidRDefault="00832706" w:rsidP="00A20A8D">
      <w:pPr>
        <w:pStyle w:val="Heading1"/>
        <w:rPr>
          <w:lang w:val="en-GB"/>
        </w:rPr>
      </w:pPr>
      <w:bookmarkStart w:id="1" w:name="_Toc312172601"/>
      <w:r w:rsidRPr="00D31979">
        <w:rPr>
          <w:lang w:val="en-GB"/>
        </w:rPr>
        <w:t>Model</w:t>
      </w:r>
      <w:r w:rsidR="003E3591" w:rsidRPr="00D31979">
        <w:rPr>
          <w:lang w:val="en-GB"/>
        </w:rPr>
        <w:t>l</w:t>
      </w:r>
      <w:r w:rsidRPr="00D31979">
        <w:rPr>
          <w:lang w:val="en-GB"/>
        </w:rPr>
        <w:t>ing approach</w:t>
      </w:r>
      <w:bookmarkEnd w:id="1"/>
    </w:p>
    <w:p w:rsidR="008B0DE3" w:rsidRPr="00D31979" w:rsidRDefault="00577861" w:rsidP="003B74A8">
      <w:pPr>
        <w:rPr>
          <w:lang w:val="en-GB"/>
        </w:rPr>
      </w:pPr>
      <w:r>
        <w:rPr>
          <w:lang w:val="en-GB"/>
        </w:rPr>
        <w:t xml:space="preserve">Within </w:t>
      </w:r>
      <w:r w:rsidRPr="00D31979">
        <w:rPr>
          <w:lang w:val="en-GB"/>
        </w:rPr>
        <w:t>the</w:t>
      </w:r>
      <w:r w:rsidR="00832706" w:rsidRPr="00D31979">
        <w:rPr>
          <w:lang w:val="en-GB"/>
        </w:rPr>
        <w:t xml:space="preserve"> framework of European Union (EU) </w:t>
      </w:r>
      <w:r w:rsidR="00C17C97">
        <w:rPr>
          <w:lang w:val="en-GB"/>
        </w:rPr>
        <w:t>C</w:t>
      </w:r>
      <w:r w:rsidR="00832706" w:rsidRPr="00D31979">
        <w:rPr>
          <w:lang w:val="en-GB"/>
        </w:rPr>
        <w:t xml:space="preserve">ohesion </w:t>
      </w:r>
      <w:r w:rsidR="00C17C97">
        <w:rPr>
          <w:lang w:val="en-GB"/>
        </w:rPr>
        <w:t>P</w:t>
      </w:r>
      <w:r w:rsidR="00832706" w:rsidRPr="00D31979">
        <w:rPr>
          <w:lang w:val="en-GB"/>
        </w:rPr>
        <w:t xml:space="preserve">olicy, Latvia as </w:t>
      </w:r>
      <w:r w:rsidR="00C17C97" w:rsidRPr="00D31979">
        <w:rPr>
          <w:lang w:val="en-GB"/>
        </w:rPr>
        <w:t>a</w:t>
      </w:r>
      <w:r w:rsidR="00C17C97">
        <w:rPr>
          <w:lang w:val="en-GB"/>
        </w:rPr>
        <w:t xml:space="preserve">n EU </w:t>
      </w:r>
      <w:r w:rsidR="00832706" w:rsidRPr="00D31979">
        <w:rPr>
          <w:lang w:val="en-GB"/>
        </w:rPr>
        <w:t>member</w:t>
      </w:r>
      <w:r w:rsidR="00C17C97">
        <w:rPr>
          <w:lang w:val="en-GB"/>
        </w:rPr>
        <w:t xml:space="preserve"> state</w:t>
      </w:r>
      <w:r w:rsidR="00832706" w:rsidRPr="00D31979">
        <w:rPr>
          <w:lang w:val="en-GB"/>
        </w:rPr>
        <w:t xml:space="preserve"> has received and will continue to receive substantial funds</w:t>
      </w:r>
      <w:r w:rsidR="00C17C97">
        <w:rPr>
          <w:rStyle w:val="FootnoteReference"/>
          <w:lang w:val="en-GB"/>
        </w:rPr>
        <w:footnoteReference w:id="1"/>
      </w:r>
      <w:r w:rsidR="00832706" w:rsidRPr="00D31979">
        <w:rPr>
          <w:lang w:val="en-GB"/>
        </w:rPr>
        <w:t xml:space="preserve">, </w:t>
      </w:r>
      <w:r w:rsidR="00F2256E" w:rsidRPr="00D31979">
        <w:rPr>
          <w:lang w:val="en-GB"/>
        </w:rPr>
        <w:t>aimed at</w:t>
      </w:r>
      <w:r w:rsidR="00832706" w:rsidRPr="00D31979">
        <w:rPr>
          <w:lang w:val="en-GB"/>
        </w:rPr>
        <w:t xml:space="preserve"> increasing the </w:t>
      </w:r>
      <w:r w:rsidR="00031188" w:rsidRPr="00D31979">
        <w:rPr>
          <w:lang w:val="en-GB"/>
        </w:rPr>
        <w:t xml:space="preserve">production </w:t>
      </w:r>
      <w:r w:rsidR="00832706" w:rsidRPr="00D31979">
        <w:rPr>
          <w:lang w:val="en-GB"/>
        </w:rPr>
        <w:t xml:space="preserve">potential of </w:t>
      </w:r>
      <w:r w:rsidR="000014B1">
        <w:rPr>
          <w:lang w:val="en-GB"/>
        </w:rPr>
        <w:t>its</w:t>
      </w:r>
      <w:r w:rsidR="00832706" w:rsidRPr="00D31979">
        <w:rPr>
          <w:lang w:val="en-GB"/>
        </w:rPr>
        <w:t xml:space="preserve"> economy. The funds </w:t>
      </w:r>
      <w:r w:rsidR="003B74A8" w:rsidRPr="00D31979">
        <w:rPr>
          <w:lang w:val="en-GB"/>
        </w:rPr>
        <w:t xml:space="preserve">thus </w:t>
      </w:r>
      <w:r w:rsidR="00832706" w:rsidRPr="00D31979">
        <w:rPr>
          <w:lang w:val="en-GB"/>
        </w:rPr>
        <w:t>received were invested in various segments of the economy</w:t>
      </w:r>
      <w:r w:rsidR="003B74A8" w:rsidRPr="00D31979">
        <w:rPr>
          <w:lang w:val="en-GB"/>
        </w:rPr>
        <w:t>: fixed assets; infrastructure development; human capital; and technology</w:t>
      </w:r>
      <w:r w:rsidR="00832706" w:rsidRPr="00D31979">
        <w:rPr>
          <w:lang w:val="en-GB"/>
        </w:rPr>
        <w:t>. The evaluation of the impact of such investm</w:t>
      </w:r>
      <w:r w:rsidR="00723367" w:rsidRPr="00D31979">
        <w:rPr>
          <w:lang w:val="en-GB"/>
        </w:rPr>
        <w:t>ent</w:t>
      </w:r>
      <w:r w:rsidR="003B74A8" w:rsidRPr="00D31979">
        <w:rPr>
          <w:lang w:val="en-GB"/>
        </w:rPr>
        <w:t xml:space="preserve"> is a complicated task</w:t>
      </w:r>
      <w:r w:rsidR="00832706" w:rsidRPr="00D31979">
        <w:rPr>
          <w:lang w:val="en-GB"/>
        </w:rPr>
        <w:t xml:space="preserve"> for two main reasons.</w:t>
      </w:r>
      <w:r w:rsidR="00404CF0" w:rsidRPr="00D31979">
        <w:rPr>
          <w:lang w:val="en-GB"/>
        </w:rPr>
        <w:t xml:space="preserve"> </w:t>
      </w:r>
      <w:r w:rsidR="000014B1">
        <w:rPr>
          <w:lang w:val="en-GB"/>
        </w:rPr>
        <w:t>S</w:t>
      </w:r>
      <w:r w:rsidR="00723367" w:rsidRPr="00D31979">
        <w:rPr>
          <w:lang w:val="en-GB"/>
        </w:rPr>
        <w:t>uch investment has</w:t>
      </w:r>
      <w:r w:rsidR="003B74A8" w:rsidRPr="00D31979">
        <w:rPr>
          <w:lang w:val="en-GB"/>
        </w:rPr>
        <w:t xml:space="preserve"> </w:t>
      </w:r>
      <w:r w:rsidR="000014B1">
        <w:rPr>
          <w:lang w:val="en-GB"/>
        </w:rPr>
        <w:t xml:space="preserve">both </w:t>
      </w:r>
      <w:r w:rsidR="003B74A8" w:rsidRPr="00D31979">
        <w:rPr>
          <w:lang w:val="en-GB"/>
        </w:rPr>
        <w:t xml:space="preserve">a long-term effect, which manifests itself in a greater productive capacity of the economy, </w:t>
      </w:r>
      <w:r>
        <w:rPr>
          <w:lang w:val="en-GB"/>
        </w:rPr>
        <w:t xml:space="preserve">and </w:t>
      </w:r>
      <w:r w:rsidRPr="00D31979">
        <w:rPr>
          <w:lang w:val="en-GB"/>
        </w:rPr>
        <w:t>a</w:t>
      </w:r>
      <w:r w:rsidR="003B74A8" w:rsidRPr="00D31979">
        <w:rPr>
          <w:lang w:val="en-GB"/>
        </w:rPr>
        <w:t xml:space="preserve"> short-term effect, which acts </w:t>
      </w:r>
      <w:r>
        <w:rPr>
          <w:lang w:val="en-GB"/>
        </w:rPr>
        <w:t xml:space="preserve">through </w:t>
      </w:r>
      <w:r w:rsidRPr="00D31979">
        <w:rPr>
          <w:lang w:val="en-GB"/>
        </w:rPr>
        <w:t>the</w:t>
      </w:r>
      <w:r w:rsidR="003B74A8" w:rsidRPr="00D31979">
        <w:rPr>
          <w:lang w:val="en-GB"/>
        </w:rPr>
        <w:t xml:space="preserve"> demand side </w:t>
      </w:r>
      <w:r w:rsidR="00EF6C5B" w:rsidRPr="00D31979">
        <w:rPr>
          <w:lang w:val="en-GB"/>
        </w:rPr>
        <w:t xml:space="preserve">of </w:t>
      </w:r>
      <w:r w:rsidR="003B74A8" w:rsidRPr="00D31979">
        <w:rPr>
          <w:lang w:val="en-GB"/>
        </w:rPr>
        <w:t xml:space="preserve">the economy and may benefit both the </w:t>
      </w:r>
      <w:r w:rsidR="00096DAA" w:rsidRPr="00D31979">
        <w:rPr>
          <w:lang w:val="en-GB"/>
        </w:rPr>
        <w:t>sector</w:t>
      </w:r>
      <w:r w:rsidR="003B74A8" w:rsidRPr="00D31979">
        <w:rPr>
          <w:lang w:val="en-GB"/>
        </w:rPr>
        <w:t xml:space="preserve"> in which investment</w:t>
      </w:r>
      <w:r w:rsidR="00723367" w:rsidRPr="00D31979">
        <w:rPr>
          <w:lang w:val="en-GB"/>
        </w:rPr>
        <w:t xml:space="preserve"> is</w:t>
      </w:r>
      <w:r w:rsidR="003B74A8" w:rsidRPr="00D31979">
        <w:rPr>
          <w:lang w:val="en-GB"/>
        </w:rPr>
        <w:t xml:space="preserve"> made and other </w:t>
      </w:r>
      <w:r w:rsidR="00096DAA" w:rsidRPr="00D31979">
        <w:rPr>
          <w:lang w:val="en-GB"/>
        </w:rPr>
        <w:t>sectors</w:t>
      </w:r>
      <w:r w:rsidR="00723367" w:rsidRPr="00D31979">
        <w:rPr>
          <w:lang w:val="en-GB"/>
        </w:rPr>
        <w:t xml:space="preserve">. </w:t>
      </w:r>
      <w:r w:rsidR="000014B1">
        <w:rPr>
          <w:lang w:val="en-GB"/>
        </w:rPr>
        <w:t>Additionally</w:t>
      </w:r>
      <w:r w:rsidR="00723367" w:rsidRPr="00D31979">
        <w:rPr>
          <w:lang w:val="en-GB"/>
        </w:rPr>
        <w:t>, investment</w:t>
      </w:r>
      <w:r w:rsidR="003B74A8" w:rsidRPr="00D31979">
        <w:rPr>
          <w:lang w:val="en-GB"/>
        </w:rPr>
        <w:t xml:space="preserve"> in one </w:t>
      </w:r>
      <w:r w:rsidR="00096DAA" w:rsidRPr="00D31979">
        <w:rPr>
          <w:lang w:val="en-GB"/>
        </w:rPr>
        <w:t>sector</w:t>
      </w:r>
      <w:r w:rsidR="003B74A8" w:rsidRPr="00D31979">
        <w:rPr>
          <w:lang w:val="en-GB"/>
        </w:rPr>
        <w:t xml:space="preserve"> may indirectly </w:t>
      </w:r>
      <w:r w:rsidR="0018359B" w:rsidRPr="00D31979">
        <w:rPr>
          <w:lang w:val="en-GB"/>
        </w:rPr>
        <w:t>affect</w:t>
      </w:r>
      <w:r w:rsidR="003B74A8" w:rsidRPr="00D31979">
        <w:rPr>
          <w:lang w:val="en-GB"/>
        </w:rPr>
        <w:t xml:space="preserve"> other </w:t>
      </w:r>
      <w:r w:rsidR="00096DAA" w:rsidRPr="00D31979">
        <w:rPr>
          <w:lang w:val="en-GB"/>
        </w:rPr>
        <w:t>sectors</w:t>
      </w:r>
      <w:r w:rsidR="003B74A8" w:rsidRPr="00D31979">
        <w:rPr>
          <w:lang w:val="en-GB"/>
        </w:rPr>
        <w:t xml:space="preserve"> even in the long term. For example, the construction of </w:t>
      </w:r>
      <w:r w:rsidR="000014B1">
        <w:rPr>
          <w:lang w:val="en-GB"/>
        </w:rPr>
        <w:t xml:space="preserve">a </w:t>
      </w:r>
      <w:r w:rsidR="003B74A8" w:rsidRPr="00D31979">
        <w:rPr>
          <w:lang w:val="en-GB"/>
        </w:rPr>
        <w:t xml:space="preserve">new road increases the output of the </w:t>
      </w:r>
      <w:r w:rsidR="0018359B" w:rsidRPr="00D31979">
        <w:rPr>
          <w:lang w:val="en-GB"/>
        </w:rPr>
        <w:t>construction</w:t>
      </w:r>
      <w:r w:rsidR="003B74A8" w:rsidRPr="00D31979">
        <w:rPr>
          <w:lang w:val="en-GB"/>
        </w:rPr>
        <w:t xml:space="preserve"> sector, which directly affects the demand for labour and </w:t>
      </w:r>
      <w:r w:rsidR="00096DAA" w:rsidRPr="00D31979">
        <w:rPr>
          <w:lang w:val="en-GB"/>
        </w:rPr>
        <w:t xml:space="preserve">the </w:t>
      </w:r>
      <w:r w:rsidR="003B74A8" w:rsidRPr="00D31979">
        <w:rPr>
          <w:lang w:val="en-GB"/>
        </w:rPr>
        <w:t>wage</w:t>
      </w:r>
      <w:r w:rsidR="00096DAA" w:rsidRPr="00D31979">
        <w:rPr>
          <w:lang w:val="en-GB"/>
        </w:rPr>
        <w:t xml:space="preserve"> levels</w:t>
      </w:r>
      <w:r w:rsidR="003B74A8" w:rsidRPr="00D31979">
        <w:rPr>
          <w:lang w:val="en-GB"/>
        </w:rPr>
        <w:t xml:space="preserve"> in </w:t>
      </w:r>
      <w:r w:rsidR="00096DAA" w:rsidRPr="00D31979">
        <w:rPr>
          <w:lang w:val="en-GB"/>
        </w:rPr>
        <w:t>that</w:t>
      </w:r>
      <w:r w:rsidR="003B74A8" w:rsidRPr="00D31979">
        <w:rPr>
          <w:lang w:val="en-GB"/>
        </w:rPr>
        <w:t xml:space="preserve"> sector. At the same time, a better road network </w:t>
      </w:r>
      <w:r w:rsidR="000014B1">
        <w:rPr>
          <w:lang w:val="en-GB"/>
        </w:rPr>
        <w:t xml:space="preserve">potentially </w:t>
      </w:r>
      <w:r w:rsidR="003B74A8" w:rsidRPr="00D31979">
        <w:rPr>
          <w:lang w:val="en-GB"/>
        </w:rPr>
        <w:t xml:space="preserve">increases productivity </w:t>
      </w:r>
      <w:r w:rsidR="000014B1">
        <w:rPr>
          <w:lang w:val="en-GB"/>
        </w:rPr>
        <w:t xml:space="preserve">(including labour productivity) </w:t>
      </w:r>
      <w:r w:rsidR="003B74A8" w:rsidRPr="00D31979">
        <w:rPr>
          <w:lang w:val="en-GB"/>
        </w:rPr>
        <w:t xml:space="preserve">in all sectors of the economy, and it can therefore be expected that an indirect effect of better road infrastructure </w:t>
      </w:r>
      <w:r w:rsidR="000014B1">
        <w:rPr>
          <w:lang w:val="en-GB"/>
        </w:rPr>
        <w:t xml:space="preserve">is, for example, </w:t>
      </w:r>
      <w:r w:rsidR="003B74A8" w:rsidRPr="00D31979">
        <w:rPr>
          <w:lang w:val="en-GB"/>
        </w:rPr>
        <w:t xml:space="preserve">higher overall wage levels, </w:t>
      </w:r>
      <w:r w:rsidR="00096DAA" w:rsidRPr="00D31979">
        <w:rPr>
          <w:lang w:val="en-GB"/>
        </w:rPr>
        <w:t xml:space="preserve">which would lead to </w:t>
      </w:r>
      <w:r w:rsidR="00081465" w:rsidRPr="00D31979">
        <w:rPr>
          <w:lang w:val="en-GB"/>
        </w:rPr>
        <w:t>more</w:t>
      </w:r>
      <w:r w:rsidR="003B74A8" w:rsidRPr="00D31979">
        <w:rPr>
          <w:lang w:val="en-GB"/>
        </w:rPr>
        <w:t xml:space="preserve"> demand both for goods produced domestically </w:t>
      </w:r>
      <w:r w:rsidR="00096DAA" w:rsidRPr="00D31979">
        <w:rPr>
          <w:lang w:val="en-GB"/>
        </w:rPr>
        <w:t>and for goods imported.</w:t>
      </w:r>
    </w:p>
    <w:p w:rsidR="00B665F4" w:rsidRPr="00D31979" w:rsidRDefault="00096DAA" w:rsidP="00096DAA">
      <w:pPr>
        <w:rPr>
          <w:lang w:val="en-GB"/>
        </w:rPr>
      </w:pPr>
      <w:r w:rsidRPr="00D31979">
        <w:rPr>
          <w:lang w:val="en-GB"/>
        </w:rPr>
        <w:t>When modelling t</w:t>
      </w:r>
      <w:r w:rsidR="00723367" w:rsidRPr="00D31979">
        <w:rPr>
          <w:lang w:val="en-GB"/>
        </w:rPr>
        <w:t>he impact of fund</w:t>
      </w:r>
      <w:r w:rsidR="000014B1">
        <w:rPr>
          <w:lang w:val="en-GB"/>
        </w:rPr>
        <w:t>s</w:t>
      </w:r>
      <w:r w:rsidR="00723367" w:rsidRPr="00D31979">
        <w:rPr>
          <w:lang w:val="en-GB"/>
        </w:rPr>
        <w:t xml:space="preserve"> investment</w:t>
      </w:r>
      <w:r w:rsidRPr="00D31979">
        <w:rPr>
          <w:lang w:val="en-GB"/>
        </w:rPr>
        <w:t>, tak</w:t>
      </w:r>
      <w:r w:rsidR="00316749">
        <w:rPr>
          <w:lang w:val="en-GB"/>
        </w:rPr>
        <w:t>ing</w:t>
      </w:r>
      <w:r w:rsidRPr="00D31979">
        <w:rPr>
          <w:lang w:val="en-GB"/>
        </w:rPr>
        <w:t xml:space="preserve"> account of these mechanisms and </w:t>
      </w:r>
      <w:r w:rsidR="00EF6C5B" w:rsidRPr="00D31979">
        <w:rPr>
          <w:lang w:val="en-GB"/>
        </w:rPr>
        <w:t xml:space="preserve">of the </w:t>
      </w:r>
      <w:r w:rsidRPr="00D31979">
        <w:rPr>
          <w:lang w:val="en-GB"/>
        </w:rPr>
        <w:t>interrelationships between the various segments of the economy</w:t>
      </w:r>
      <w:r w:rsidR="00316749">
        <w:rPr>
          <w:lang w:val="en-GB"/>
        </w:rPr>
        <w:t xml:space="preserve"> in a consistent manner </w:t>
      </w:r>
      <w:r w:rsidR="00577861">
        <w:rPr>
          <w:lang w:val="en-GB"/>
        </w:rPr>
        <w:t>requires</w:t>
      </w:r>
      <w:r w:rsidR="00577861" w:rsidRPr="00D31979">
        <w:rPr>
          <w:lang w:val="en-GB"/>
        </w:rPr>
        <w:t xml:space="preserve"> an</w:t>
      </w:r>
      <w:r w:rsidRPr="00D31979">
        <w:rPr>
          <w:lang w:val="en-GB"/>
        </w:rPr>
        <w:t xml:space="preserve"> appropriate economic model. There is a </w:t>
      </w:r>
      <w:r w:rsidR="00316749">
        <w:rPr>
          <w:lang w:val="en-GB"/>
        </w:rPr>
        <w:t>considerable</w:t>
      </w:r>
      <w:r w:rsidRPr="00D31979">
        <w:rPr>
          <w:lang w:val="en-GB"/>
        </w:rPr>
        <w:t xml:space="preserve"> literature on the evaluation of EU structural policies based on macroeconomic models (an overview of simulation models used in the </w:t>
      </w:r>
      <w:r w:rsidRPr="00D31979">
        <w:rPr>
          <w:i/>
          <w:lang w:val="en-GB"/>
        </w:rPr>
        <w:t>ex-ante</w:t>
      </w:r>
      <w:r w:rsidRPr="00D31979">
        <w:rPr>
          <w:lang w:val="en-GB"/>
        </w:rPr>
        <w:t xml:space="preserve"> evaluation of</w:t>
      </w:r>
      <w:r w:rsidR="00031188" w:rsidRPr="00D31979">
        <w:rPr>
          <w:lang w:val="en-GB"/>
        </w:rPr>
        <w:t xml:space="preserve"> EU</w:t>
      </w:r>
      <w:r w:rsidRPr="00D31979">
        <w:rPr>
          <w:lang w:val="en-GB"/>
        </w:rPr>
        <w:t xml:space="preserve"> funds is provided by Lolos (2011)). For Latvia, an evaluation of the impact of EU structural policy using macroeconomic </w:t>
      </w:r>
      <w:r w:rsidR="00031188" w:rsidRPr="00D31979">
        <w:rPr>
          <w:lang w:val="en-GB"/>
        </w:rPr>
        <w:t>modelling was first done in 2000</w:t>
      </w:r>
      <w:r w:rsidRPr="00D31979">
        <w:rPr>
          <w:lang w:val="en-GB"/>
        </w:rPr>
        <w:t xml:space="preserve">, when the HERMIN model was developed for modelling the </w:t>
      </w:r>
      <w:r w:rsidRPr="00D31979">
        <w:rPr>
          <w:i/>
          <w:lang w:val="en-GB"/>
        </w:rPr>
        <w:t xml:space="preserve">ex-ante </w:t>
      </w:r>
      <w:r w:rsidRPr="00D31979">
        <w:rPr>
          <w:lang w:val="en-GB"/>
        </w:rPr>
        <w:t xml:space="preserve">effect of pre-accession EU funds </w:t>
      </w:r>
      <w:r w:rsidR="00CA1068" w:rsidRPr="00D31979">
        <w:rPr>
          <w:lang w:val="en-GB"/>
        </w:rPr>
        <w:t>(Bradley et al, 2000)</w:t>
      </w:r>
      <w:r w:rsidRPr="00D31979">
        <w:rPr>
          <w:lang w:val="en-GB"/>
        </w:rPr>
        <w:t xml:space="preserve">. In 2007-2008, the LATFUN model was developed for the </w:t>
      </w:r>
      <w:r w:rsidRPr="00D31979">
        <w:rPr>
          <w:i/>
          <w:lang w:val="en-GB"/>
        </w:rPr>
        <w:t>ex-ante</w:t>
      </w:r>
      <w:r w:rsidRPr="00D31979">
        <w:rPr>
          <w:lang w:val="en-GB"/>
        </w:rPr>
        <w:t xml:space="preserve"> and </w:t>
      </w:r>
      <w:r w:rsidRPr="00D31979">
        <w:rPr>
          <w:i/>
          <w:lang w:val="en-GB"/>
        </w:rPr>
        <w:t>ex-post</w:t>
      </w:r>
      <w:r w:rsidRPr="00D31979">
        <w:rPr>
          <w:lang w:val="en-GB"/>
        </w:rPr>
        <w:t xml:space="preserve"> evaluation of pre-accession funds and</w:t>
      </w:r>
      <w:r w:rsidR="00031188" w:rsidRPr="00D31979">
        <w:rPr>
          <w:lang w:val="en-GB"/>
        </w:rPr>
        <w:t xml:space="preserve"> EU</w:t>
      </w:r>
      <w:r w:rsidRPr="00D31979">
        <w:rPr>
          <w:lang w:val="en-GB"/>
        </w:rPr>
        <w:t xml:space="preserve"> funds that Latvia </w:t>
      </w:r>
      <w:r w:rsidR="00031188" w:rsidRPr="00D31979">
        <w:rPr>
          <w:lang w:val="en-GB"/>
        </w:rPr>
        <w:t xml:space="preserve">received or </w:t>
      </w:r>
      <w:r w:rsidR="00316749">
        <w:rPr>
          <w:lang w:val="en-GB"/>
        </w:rPr>
        <w:t>expected</w:t>
      </w:r>
      <w:r w:rsidRPr="00D31979">
        <w:rPr>
          <w:lang w:val="en-GB"/>
        </w:rPr>
        <w:t xml:space="preserve"> to receive after 2004</w:t>
      </w:r>
      <w:r w:rsidR="00CA1068" w:rsidRPr="00D31979">
        <w:rPr>
          <w:lang w:val="en-GB"/>
        </w:rPr>
        <w:t xml:space="preserve"> (BICEPS, 2008a </w:t>
      </w:r>
      <w:r w:rsidR="00081465" w:rsidRPr="00D31979">
        <w:rPr>
          <w:lang w:val="en-GB"/>
        </w:rPr>
        <w:t>and</w:t>
      </w:r>
      <w:r w:rsidR="00CA1068" w:rsidRPr="00D31979">
        <w:rPr>
          <w:lang w:val="en-GB"/>
        </w:rPr>
        <w:t xml:space="preserve"> 2008b). </w:t>
      </w:r>
    </w:p>
    <w:p w:rsidR="008429BE" w:rsidRPr="00D31979" w:rsidRDefault="002D616F" w:rsidP="008429BE">
      <w:pPr>
        <w:rPr>
          <w:lang w:val="en-GB"/>
        </w:rPr>
      </w:pPr>
      <w:r w:rsidRPr="00D31979">
        <w:rPr>
          <w:lang w:val="en-GB"/>
        </w:rPr>
        <w:t xml:space="preserve">The macroeconomic model developed within the framework of this project </w:t>
      </w:r>
      <w:r w:rsidR="00316749">
        <w:rPr>
          <w:lang w:val="en-GB"/>
        </w:rPr>
        <w:t xml:space="preserve">has a number of advantages </w:t>
      </w:r>
      <w:r w:rsidRPr="00D31979">
        <w:rPr>
          <w:lang w:val="en-GB"/>
        </w:rPr>
        <w:t xml:space="preserve">compared with </w:t>
      </w:r>
      <w:r w:rsidR="00316749">
        <w:rPr>
          <w:lang w:val="en-GB"/>
        </w:rPr>
        <w:t xml:space="preserve">the earlier </w:t>
      </w:r>
      <w:r w:rsidRPr="00D31979">
        <w:rPr>
          <w:lang w:val="en-GB"/>
        </w:rPr>
        <w:t>HERMIN and LATFUN</w:t>
      </w:r>
      <w:r w:rsidR="00316749">
        <w:rPr>
          <w:lang w:val="en-GB"/>
        </w:rPr>
        <w:t xml:space="preserve"> models</w:t>
      </w:r>
      <w:r w:rsidRPr="00D31979">
        <w:rPr>
          <w:lang w:val="en-GB"/>
        </w:rPr>
        <w:t xml:space="preserve">. First of all, the model equations are fully based on econometric estimations, without calibration </w:t>
      </w:r>
      <w:r w:rsidR="00577861">
        <w:rPr>
          <w:lang w:val="en-GB"/>
        </w:rPr>
        <w:t>of</w:t>
      </w:r>
      <w:r w:rsidR="00577861" w:rsidRPr="00D31979">
        <w:rPr>
          <w:lang w:val="en-GB"/>
        </w:rPr>
        <w:t xml:space="preserve"> short</w:t>
      </w:r>
      <w:r w:rsidRPr="00D31979">
        <w:rPr>
          <w:lang w:val="en-GB"/>
        </w:rPr>
        <w:t>-term parameters; this provides better</w:t>
      </w:r>
      <w:r w:rsidR="00EF6C5B" w:rsidRPr="00D31979">
        <w:rPr>
          <w:lang w:val="en-GB"/>
        </w:rPr>
        <w:t xml:space="preserve"> model </w:t>
      </w:r>
      <w:r w:rsidR="00031188" w:rsidRPr="00D31979">
        <w:rPr>
          <w:lang w:val="en-GB"/>
        </w:rPr>
        <w:t xml:space="preserve">in-sample </w:t>
      </w:r>
      <w:r w:rsidR="00EF6C5B" w:rsidRPr="00D31979">
        <w:rPr>
          <w:lang w:val="en-GB"/>
        </w:rPr>
        <w:t>fit</w:t>
      </w:r>
      <w:r w:rsidRPr="00D31979">
        <w:rPr>
          <w:lang w:val="en-GB"/>
        </w:rPr>
        <w:t xml:space="preserve">. Secondly, the </w:t>
      </w:r>
      <w:r w:rsidR="00577861" w:rsidRPr="00D31979">
        <w:rPr>
          <w:lang w:val="en-GB"/>
        </w:rPr>
        <w:t>sectorial</w:t>
      </w:r>
      <w:r w:rsidRPr="00D31979">
        <w:rPr>
          <w:lang w:val="en-GB"/>
        </w:rPr>
        <w:t xml:space="preserve"> interrelationships </w:t>
      </w:r>
      <w:r w:rsidR="007E1B39">
        <w:rPr>
          <w:lang w:val="en-GB"/>
        </w:rPr>
        <w:t xml:space="preserve">have been </w:t>
      </w:r>
      <w:r w:rsidRPr="00D31979">
        <w:rPr>
          <w:lang w:val="en-GB"/>
        </w:rPr>
        <w:t xml:space="preserve">estimated econometrically and </w:t>
      </w:r>
      <w:r w:rsidR="007E1B39">
        <w:rPr>
          <w:lang w:val="en-GB"/>
        </w:rPr>
        <w:t xml:space="preserve">rather </w:t>
      </w:r>
      <w:r w:rsidR="00577861">
        <w:rPr>
          <w:lang w:val="en-GB"/>
        </w:rPr>
        <w:t>than using</w:t>
      </w:r>
      <w:r w:rsidRPr="00D31979">
        <w:rPr>
          <w:lang w:val="en-GB"/>
        </w:rPr>
        <w:t xml:space="preserve"> input-output tables</w:t>
      </w:r>
      <w:r w:rsidR="007E1B39">
        <w:rPr>
          <w:lang w:val="en-GB"/>
        </w:rPr>
        <w:t xml:space="preserve"> as in </w:t>
      </w:r>
      <w:r w:rsidR="00577861">
        <w:rPr>
          <w:lang w:val="en-GB"/>
        </w:rPr>
        <w:t xml:space="preserve">the </w:t>
      </w:r>
      <w:r w:rsidR="00577861" w:rsidRPr="00D31979">
        <w:rPr>
          <w:lang w:val="en-GB"/>
        </w:rPr>
        <w:t>HERMIN</w:t>
      </w:r>
      <w:r w:rsidRPr="00D31979">
        <w:rPr>
          <w:lang w:val="en-GB"/>
        </w:rPr>
        <w:t xml:space="preserve"> and LATFUN models. </w:t>
      </w:r>
      <w:r w:rsidR="007E1B39">
        <w:rPr>
          <w:lang w:val="en-GB"/>
        </w:rPr>
        <w:t>I</w:t>
      </w:r>
      <w:r w:rsidRPr="00D31979">
        <w:rPr>
          <w:lang w:val="en-GB"/>
        </w:rPr>
        <w:t xml:space="preserve">nput-output tables are available with a very long </w:t>
      </w:r>
      <w:r w:rsidR="007E1B39">
        <w:rPr>
          <w:lang w:val="en-GB"/>
        </w:rPr>
        <w:t xml:space="preserve">time-lag and for an </w:t>
      </w:r>
      <w:r w:rsidRPr="00D31979">
        <w:rPr>
          <w:lang w:val="en-GB"/>
        </w:rPr>
        <w:t xml:space="preserve">economy </w:t>
      </w:r>
      <w:r w:rsidR="007E1B39">
        <w:rPr>
          <w:lang w:val="en-GB"/>
        </w:rPr>
        <w:t xml:space="preserve">such as </w:t>
      </w:r>
      <w:r w:rsidRPr="00D31979">
        <w:rPr>
          <w:lang w:val="en-GB"/>
        </w:rPr>
        <w:t xml:space="preserve">Latvia </w:t>
      </w:r>
      <w:r w:rsidR="007E1B39">
        <w:rPr>
          <w:lang w:val="en-GB"/>
        </w:rPr>
        <w:t xml:space="preserve">which </w:t>
      </w:r>
      <w:r w:rsidRPr="00D31979">
        <w:rPr>
          <w:lang w:val="en-GB"/>
        </w:rPr>
        <w:t xml:space="preserve">has experienced </w:t>
      </w:r>
      <w:r w:rsidR="007E1B39">
        <w:rPr>
          <w:lang w:val="en-GB"/>
        </w:rPr>
        <w:t>substantial</w:t>
      </w:r>
      <w:r w:rsidRPr="00D31979">
        <w:rPr>
          <w:lang w:val="en-GB"/>
        </w:rPr>
        <w:t xml:space="preserve"> structural changes in the past few </w:t>
      </w:r>
      <w:r w:rsidR="00577861" w:rsidRPr="00D31979">
        <w:rPr>
          <w:lang w:val="en-GB"/>
        </w:rPr>
        <w:t>years</w:t>
      </w:r>
      <w:r w:rsidR="00577861">
        <w:rPr>
          <w:lang w:val="en-GB"/>
        </w:rPr>
        <w:t>,</w:t>
      </w:r>
      <w:r w:rsidR="00577861" w:rsidRPr="00D31979">
        <w:rPr>
          <w:lang w:val="en-GB"/>
        </w:rPr>
        <w:t xml:space="preserve"> it</w:t>
      </w:r>
      <w:r w:rsidRPr="00D31979">
        <w:rPr>
          <w:lang w:val="en-GB"/>
        </w:rPr>
        <w:t xml:space="preserve"> seems</w:t>
      </w:r>
      <w:r w:rsidR="007E1B39">
        <w:rPr>
          <w:lang w:val="en-GB"/>
        </w:rPr>
        <w:t xml:space="preserve"> more</w:t>
      </w:r>
      <w:r w:rsidRPr="00D31979">
        <w:rPr>
          <w:lang w:val="en-GB"/>
        </w:rPr>
        <w:t xml:space="preserve"> appropriate to use an approach that is based on an empirical </w:t>
      </w:r>
      <w:r w:rsidR="00EF6C5B" w:rsidRPr="00D31979">
        <w:rPr>
          <w:lang w:val="en-GB"/>
        </w:rPr>
        <w:lastRenderedPageBreak/>
        <w:t>estimation</w:t>
      </w:r>
      <w:r w:rsidRPr="00D31979">
        <w:rPr>
          <w:lang w:val="en-GB"/>
        </w:rPr>
        <w:t>. Lastly,</w:t>
      </w:r>
      <w:r w:rsidR="008429BE" w:rsidRPr="00D31979">
        <w:rPr>
          <w:lang w:val="en-GB"/>
        </w:rPr>
        <w:t xml:space="preserve"> this model </w:t>
      </w:r>
      <w:r w:rsidR="007E1B39">
        <w:rPr>
          <w:lang w:val="en-GB"/>
        </w:rPr>
        <w:t xml:space="preserve">minimises the use of </w:t>
      </w:r>
      <w:r w:rsidR="00B449EA" w:rsidRPr="00D31979">
        <w:rPr>
          <w:lang w:val="en-GB"/>
        </w:rPr>
        <w:t xml:space="preserve">dummy </w:t>
      </w:r>
      <w:r w:rsidR="008429BE" w:rsidRPr="00D31979">
        <w:rPr>
          <w:lang w:val="en-GB"/>
        </w:rPr>
        <w:t xml:space="preserve">variables as possible, </w:t>
      </w:r>
      <w:r w:rsidR="007E1B39">
        <w:rPr>
          <w:lang w:val="en-GB"/>
        </w:rPr>
        <w:t>even though the</w:t>
      </w:r>
      <w:r w:rsidR="008429BE" w:rsidRPr="00D31979">
        <w:rPr>
          <w:lang w:val="en-GB"/>
        </w:rPr>
        <w:t xml:space="preserve"> equation parameters were estimated on data for the period including the 2008 crisis</w:t>
      </w:r>
      <w:r w:rsidR="007E1B39">
        <w:rPr>
          <w:lang w:val="en-GB"/>
        </w:rPr>
        <w:t>.</w:t>
      </w:r>
      <w:r w:rsidR="008429BE" w:rsidRPr="00D31979">
        <w:rPr>
          <w:lang w:val="en-GB"/>
        </w:rPr>
        <w:t xml:space="preserve"> </w:t>
      </w:r>
      <w:r w:rsidR="007E1B39">
        <w:rPr>
          <w:lang w:val="en-GB"/>
        </w:rPr>
        <w:t>T</w:t>
      </w:r>
      <w:r w:rsidR="008429BE" w:rsidRPr="00D31979">
        <w:rPr>
          <w:lang w:val="en-GB"/>
        </w:rPr>
        <w:t xml:space="preserve">his increases the robustness of the model. </w:t>
      </w:r>
      <w:r w:rsidR="00EF6C5B" w:rsidRPr="00D31979">
        <w:rPr>
          <w:lang w:val="en-GB"/>
        </w:rPr>
        <w:t>We tested m</w:t>
      </w:r>
      <w:r w:rsidR="003D41DC" w:rsidRPr="00D31979">
        <w:rPr>
          <w:lang w:val="en-GB"/>
        </w:rPr>
        <w:t xml:space="preserve">odel robustness </w:t>
      </w:r>
      <w:r w:rsidR="008429BE" w:rsidRPr="00D31979">
        <w:rPr>
          <w:lang w:val="en-GB"/>
        </w:rPr>
        <w:t xml:space="preserve">as part of the project itself: initially, </w:t>
      </w:r>
      <w:r w:rsidR="00EF6C5B" w:rsidRPr="00D31979">
        <w:rPr>
          <w:lang w:val="en-GB"/>
        </w:rPr>
        <w:t xml:space="preserve">we estimated equation parameters for the period up to the </w:t>
      </w:r>
      <w:r w:rsidR="008429BE" w:rsidRPr="00D31979">
        <w:rPr>
          <w:lang w:val="en-GB"/>
        </w:rPr>
        <w:t xml:space="preserve">fourth quarter of 2010, but in the second stage of the project </w:t>
      </w:r>
      <w:r w:rsidR="00EF6C5B" w:rsidRPr="00D31979">
        <w:rPr>
          <w:lang w:val="en-GB"/>
        </w:rPr>
        <w:t xml:space="preserve">we re-estimated </w:t>
      </w:r>
      <w:r w:rsidR="008429BE" w:rsidRPr="00D31979">
        <w:rPr>
          <w:lang w:val="en-GB"/>
        </w:rPr>
        <w:t xml:space="preserve">the equations for the period up to the first quarter of 2011, </w:t>
      </w:r>
      <w:r w:rsidR="007E1B39">
        <w:rPr>
          <w:lang w:val="en-GB"/>
        </w:rPr>
        <w:t xml:space="preserve">and this </w:t>
      </w:r>
      <w:r w:rsidR="008429BE" w:rsidRPr="00D31979">
        <w:rPr>
          <w:lang w:val="en-GB"/>
        </w:rPr>
        <w:t>had no significant effect on model stability.</w:t>
      </w:r>
    </w:p>
    <w:p w:rsidR="00313C57" w:rsidRPr="00D31979" w:rsidRDefault="00313C57" w:rsidP="00FC6076">
      <w:pPr>
        <w:rPr>
          <w:lang w:val="en-GB"/>
        </w:rPr>
      </w:pPr>
    </w:p>
    <w:p w:rsidR="00541522" w:rsidRPr="00D31979" w:rsidRDefault="008429BE" w:rsidP="00560B81">
      <w:pPr>
        <w:pStyle w:val="Heading2"/>
        <w:rPr>
          <w:lang w:val="en-GB"/>
        </w:rPr>
      </w:pPr>
      <w:bookmarkStart w:id="2" w:name="_Toc310183187"/>
      <w:bookmarkStart w:id="3" w:name="_Toc312172602"/>
      <w:r w:rsidRPr="00D31979">
        <w:rPr>
          <w:lang w:val="en-GB"/>
        </w:rPr>
        <w:t>Short description of the structure of the model</w:t>
      </w:r>
      <w:bookmarkEnd w:id="2"/>
      <w:bookmarkEnd w:id="3"/>
    </w:p>
    <w:p w:rsidR="00EF6C5B" w:rsidRPr="00D31979" w:rsidRDefault="00EF6C5B" w:rsidP="00FC6076">
      <w:pPr>
        <w:rPr>
          <w:lang w:val="en-GB"/>
        </w:rPr>
      </w:pPr>
      <w:r w:rsidRPr="00D31979">
        <w:rPr>
          <w:lang w:val="en-GB"/>
        </w:rPr>
        <w:t>We look at f</w:t>
      </w:r>
      <w:r w:rsidR="008429BE" w:rsidRPr="00D31979">
        <w:rPr>
          <w:lang w:val="en-GB"/>
        </w:rPr>
        <w:t xml:space="preserve">ive sectors </w:t>
      </w:r>
      <w:r w:rsidRPr="00D31979">
        <w:rPr>
          <w:lang w:val="en-GB"/>
        </w:rPr>
        <w:t>on the supply side.</w:t>
      </w:r>
    </w:p>
    <w:p w:rsidR="00CC24B1" w:rsidRPr="00D31979" w:rsidRDefault="00CC24B1" w:rsidP="00FC6076">
      <w:pPr>
        <w:rPr>
          <w:lang w:val="en-GB"/>
        </w:rPr>
      </w:pPr>
      <w:r w:rsidRPr="00D31979">
        <w:rPr>
          <w:lang w:val="en-GB"/>
        </w:rPr>
        <w:t xml:space="preserve">1. </w:t>
      </w:r>
      <w:r w:rsidR="008429BE" w:rsidRPr="00D31979">
        <w:rPr>
          <w:lang w:val="en-GB"/>
        </w:rPr>
        <w:t>Agriculture</w:t>
      </w:r>
      <w:r w:rsidRPr="00D31979">
        <w:rPr>
          <w:lang w:val="en-GB"/>
        </w:rPr>
        <w:t xml:space="preserve"> (</w:t>
      </w:r>
      <w:r w:rsidRPr="00D31979">
        <w:rPr>
          <w:i/>
          <w:lang w:val="en-GB"/>
        </w:rPr>
        <w:t>AB-</w:t>
      </w:r>
      <w:r w:rsidR="008429BE" w:rsidRPr="00D31979">
        <w:rPr>
          <w:lang w:val="en-GB"/>
        </w:rPr>
        <w:t>sector</w:t>
      </w:r>
      <w:r w:rsidRPr="00D31979">
        <w:rPr>
          <w:lang w:val="en-GB"/>
        </w:rPr>
        <w:t xml:space="preserve">, </w:t>
      </w:r>
      <w:r w:rsidR="008429BE" w:rsidRPr="00D31979">
        <w:rPr>
          <w:lang w:val="en-GB"/>
        </w:rPr>
        <w:t>including NACE sectors A and B)</w:t>
      </w:r>
      <w:r w:rsidR="006A78D7" w:rsidRPr="00D31979">
        <w:rPr>
          <w:lang w:val="en-GB"/>
        </w:rPr>
        <w:t>.</w:t>
      </w:r>
    </w:p>
    <w:p w:rsidR="006A78D7" w:rsidRPr="00D31979" w:rsidRDefault="00CC24B1" w:rsidP="00FC6076">
      <w:pPr>
        <w:rPr>
          <w:lang w:val="en-GB"/>
        </w:rPr>
      </w:pPr>
      <w:r w:rsidRPr="00D31979">
        <w:rPr>
          <w:lang w:val="en-GB"/>
        </w:rPr>
        <w:t xml:space="preserve">2. </w:t>
      </w:r>
      <w:r w:rsidR="008429BE" w:rsidRPr="00D31979">
        <w:rPr>
          <w:lang w:val="en-GB"/>
        </w:rPr>
        <w:t>Industry</w:t>
      </w:r>
      <w:r w:rsidRPr="00D31979">
        <w:rPr>
          <w:lang w:val="en-GB"/>
        </w:rPr>
        <w:t xml:space="preserve"> (</w:t>
      </w:r>
      <w:r w:rsidRPr="00D31979">
        <w:rPr>
          <w:i/>
          <w:lang w:val="en-GB"/>
        </w:rPr>
        <w:t>CE</w:t>
      </w:r>
      <w:r w:rsidR="008429BE" w:rsidRPr="00D31979">
        <w:rPr>
          <w:i/>
          <w:lang w:val="en-GB"/>
        </w:rPr>
        <w:t>-</w:t>
      </w:r>
      <w:r w:rsidR="008429BE" w:rsidRPr="00D31979">
        <w:rPr>
          <w:lang w:val="en-GB"/>
        </w:rPr>
        <w:t>sector</w:t>
      </w:r>
      <w:r w:rsidRPr="00D31979">
        <w:rPr>
          <w:lang w:val="en-GB"/>
        </w:rPr>
        <w:t>,</w:t>
      </w:r>
      <w:r w:rsidR="006A78D7" w:rsidRPr="00D31979">
        <w:rPr>
          <w:lang w:val="en-GB"/>
        </w:rPr>
        <w:t xml:space="preserve"> including NACE sectors C, D, and E).</w:t>
      </w:r>
    </w:p>
    <w:p w:rsidR="00CC24B1" w:rsidRPr="00D31979" w:rsidRDefault="00CC24B1" w:rsidP="00FC6076">
      <w:pPr>
        <w:rPr>
          <w:lang w:val="en-GB"/>
        </w:rPr>
      </w:pPr>
      <w:r w:rsidRPr="00D31979">
        <w:rPr>
          <w:lang w:val="en-GB"/>
        </w:rPr>
        <w:t xml:space="preserve">3. </w:t>
      </w:r>
      <w:r w:rsidR="006A78D7" w:rsidRPr="00D31979">
        <w:rPr>
          <w:lang w:val="en-GB"/>
        </w:rPr>
        <w:t>Construction</w:t>
      </w:r>
      <w:r w:rsidRPr="00D31979">
        <w:rPr>
          <w:lang w:val="en-GB"/>
        </w:rPr>
        <w:t xml:space="preserve"> (</w:t>
      </w:r>
      <w:r w:rsidRPr="00D31979">
        <w:rPr>
          <w:i/>
          <w:lang w:val="en-GB"/>
        </w:rPr>
        <w:t>F-</w:t>
      </w:r>
      <w:r w:rsidR="006A78D7" w:rsidRPr="00D31979">
        <w:rPr>
          <w:lang w:val="en-GB"/>
        </w:rPr>
        <w:t>sector</w:t>
      </w:r>
      <w:r w:rsidRPr="00D31979">
        <w:rPr>
          <w:lang w:val="en-GB"/>
        </w:rPr>
        <w:t xml:space="preserve">, </w:t>
      </w:r>
      <w:r w:rsidR="006A78D7" w:rsidRPr="00D31979">
        <w:rPr>
          <w:lang w:val="en-GB"/>
        </w:rPr>
        <w:t>including NACE sector F</w:t>
      </w:r>
      <w:r w:rsidRPr="00D31979">
        <w:rPr>
          <w:lang w:val="en-GB"/>
        </w:rPr>
        <w:t>)</w:t>
      </w:r>
      <w:r w:rsidR="006A78D7" w:rsidRPr="00D31979">
        <w:rPr>
          <w:lang w:val="en-GB"/>
        </w:rPr>
        <w:t>.</w:t>
      </w:r>
    </w:p>
    <w:p w:rsidR="00CC24B1" w:rsidRPr="00D31979" w:rsidRDefault="00CC24B1" w:rsidP="00FC6076">
      <w:pPr>
        <w:rPr>
          <w:lang w:val="en-GB"/>
        </w:rPr>
      </w:pPr>
      <w:r w:rsidRPr="00D31979">
        <w:rPr>
          <w:lang w:val="en-GB"/>
        </w:rPr>
        <w:t xml:space="preserve">4. </w:t>
      </w:r>
      <w:r w:rsidR="006A78D7" w:rsidRPr="00D31979">
        <w:rPr>
          <w:lang w:val="en-GB"/>
        </w:rPr>
        <w:t xml:space="preserve">Private services </w:t>
      </w:r>
      <w:r w:rsidRPr="00D31979">
        <w:rPr>
          <w:lang w:val="en-GB"/>
        </w:rPr>
        <w:t>(</w:t>
      </w:r>
      <w:r w:rsidRPr="00D31979">
        <w:rPr>
          <w:i/>
          <w:lang w:val="en-GB"/>
        </w:rPr>
        <w:t>GK</w:t>
      </w:r>
      <w:r w:rsidRPr="00D31979">
        <w:rPr>
          <w:lang w:val="en-GB"/>
        </w:rPr>
        <w:t>-</w:t>
      </w:r>
      <w:r w:rsidR="006A78D7" w:rsidRPr="00D31979">
        <w:rPr>
          <w:lang w:val="en-GB"/>
        </w:rPr>
        <w:t>sector</w:t>
      </w:r>
      <w:r w:rsidRPr="00D31979">
        <w:rPr>
          <w:lang w:val="en-GB"/>
        </w:rPr>
        <w:t xml:space="preserve">, </w:t>
      </w:r>
      <w:r w:rsidR="006A78D7" w:rsidRPr="00D31979">
        <w:rPr>
          <w:lang w:val="en-GB"/>
        </w:rPr>
        <w:t>including NACE sectors G, H, I, J, and K).</w:t>
      </w:r>
    </w:p>
    <w:p w:rsidR="00CC24B1" w:rsidRPr="00D31979" w:rsidRDefault="006A78D7" w:rsidP="00FC6076">
      <w:pPr>
        <w:rPr>
          <w:lang w:val="en-GB"/>
        </w:rPr>
      </w:pPr>
      <w:r w:rsidRPr="00D31979">
        <w:rPr>
          <w:lang w:val="en-GB"/>
        </w:rPr>
        <w:t xml:space="preserve">5. Public services </w:t>
      </w:r>
      <w:r w:rsidR="00CC24B1" w:rsidRPr="00D31979">
        <w:rPr>
          <w:lang w:val="en-GB"/>
        </w:rPr>
        <w:t>(</w:t>
      </w:r>
      <w:r w:rsidR="00CC24B1" w:rsidRPr="00D31979">
        <w:rPr>
          <w:i/>
          <w:lang w:val="en-GB"/>
        </w:rPr>
        <w:t>LP</w:t>
      </w:r>
      <w:r w:rsidR="00CC24B1" w:rsidRPr="00D31979">
        <w:rPr>
          <w:lang w:val="en-GB"/>
        </w:rPr>
        <w:t>-</w:t>
      </w:r>
      <w:r w:rsidRPr="00D31979">
        <w:rPr>
          <w:lang w:val="en-GB"/>
        </w:rPr>
        <w:t>sector</w:t>
      </w:r>
      <w:r w:rsidR="00CC24B1" w:rsidRPr="00D31979">
        <w:rPr>
          <w:lang w:val="en-GB"/>
        </w:rPr>
        <w:t xml:space="preserve">, </w:t>
      </w:r>
      <w:r w:rsidRPr="00D31979">
        <w:rPr>
          <w:lang w:val="en-GB"/>
        </w:rPr>
        <w:t>including NACE sectors L, O, and P).</w:t>
      </w:r>
    </w:p>
    <w:p w:rsidR="005E0E46" w:rsidRPr="00D31979" w:rsidRDefault="006A78D7" w:rsidP="005E0E46">
      <w:pPr>
        <w:rPr>
          <w:lang w:val="en-GB"/>
        </w:rPr>
      </w:pPr>
      <w:r w:rsidRPr="00D31979">
        <w:rPr>
          <w:lang w:val="en-GB"/>
        </w:rPr>
        <w:t>On the demand side, we model private consumption,</w:t>
      </w:r>
      <w:r w:rsidR="00723367" w:rsidRPr="00D31979">
        <w:rPr>
          <w:lang w:val="en-GB"/>
        </w:rPr>
        <w:t xml:space="preserve"> public consumption, investment</w:t>
      </w:r>
      <w:r w:rsidRPr="00D31979">
        <w:rPr>
          <w:lang w:val="en-GB"/>
        </w:rPr>
        <w:t xml:space="preserve">, exports and imports, </w:t>
      </w:r>
      <w:r w:rsidR="003D41DC" w:rsidRPr="00D31979">
        <w:rPr>
          <w:lang w:val="en-GB"/>
        </w:rPr>
        <w:t xml:space="preserve">leaving </w:t>
      </w:r>
      <w:r w:rsidRPr="00D31979">
        <w:rPr>
          <w:lang w:val="en-GB"/>
        </w:rPr>
        <w:t>changes in inventories a</w:t>
      </w:r>
      <w:r w:rsidR="00081465" w:rsidRPr="00D31979">
        <w:rPr>
          <w:lang w:val="en-GB"/>
        </w:rPr>
        <w:t>s</w:t>
      </w:r>
      <w:r w:rsidRPr="00D31979">
        <w:rPr>
          <w:lang w:val="en-GB"/>
        </w:rPr>
        <w:t xml:space="preserve"> the residual. </w:t>
      </w:r>
      <w:r w:rsidR="0018359B" w:rsidRPr="00D31979">
        <w:rPr>
          <w:lang w:val="en-GB"/>
        </w:rPr>
        <w:t xml:space="preserve">The model consists of 149 equations (including equations that describe EU fund variables) and 33 exogenous variables. </w:t>
      </w:r>
      <w:r w:rsidRPr="00D31979">
        <w:rPr>
          <w:lang w:val="en-GB"/>
        </w:rPr>
        <w:t xml:space="preserve">A more detailed description of the model structure is available in the report </w:t>
      </w:r>
      <w:r w:rsidR="00081465" w:rsidRPr="00D31979">
        <w:rPr>
          <w:lang w:val="en-GB"/>
        </w:rPr>
        <w:t>of</w:t>
      </w:r>
      <w:r w:rsidRPr="00D31979">
        <w:rPr>
          <w:lang w:val="en-GB"/>
        </w:rPr>
        <w:t xml:space="preserve"> the first deliverable.</w:t>
      </w:r>
    </w:p>
    <w:p w:rsidR="00FC6076" w:rsidRPr="00D31979" w:rsidRDefault="005C675A" w:rsidP="00FC6076">
      <w:pPr>
        <w:pStyle w:val="Heading1"/>
        <w:rPr>
          <w:lang w:val="en-GB"/>
        </w:rPr>
      </w:pPr>
      <w:bookmarkStart w:id="4" w:name="_Toc310183188"/>
      <w:bookmarkStart w:id="5" w:name="_Toc312172603"/>
      <w:r w:rsidRPr="00D31979">
        <w:rPr>
          <w:lang w:val="en-GB"/>
        </w:rPr>
        <w:t>Inclusion of funds in the model</w:t>
      </w:r>
      <w:bookmarkEnd w:id="4"/>
      <w:bookmarkEnd w:id="5"/>
    </w:p>
    <w:p w:rsidR="00D85464" w:rsidRPr="00D31979" w:rsidRDefault="00D73466" w:rsidP="00D85464">
      <w:pPr>
        <w:pStyle w:val="Heading2"/>
        <w:rPr>
          <w:lang w:val="en-GB"/>
        </w:rPr>
      </w:pPr>
      <w:bookmarkStart w:id="6" w:name="_Toc312172604"/>
      <w:r>
        <w:rPr>
          <w:lang w:val="en-GB"/>
        </w:rPr>
        <w:t>F</w:t>
      </w:r>
      <w:r w:rsidR="005C675A" w:rsidRPr="00D31979">
        <w:rPr>
          <w:lang w:val="en-GB"/>
        </w:rPr>
        <w:t>und classification</w:t>
      </w:r>
      <w:bookmarkEnd w:id="6"/>
    </w:p>
    <w:p w:rsidR="00D73466" w:rsidRDefault="00D73466" w:rsidP="000C6C12">
      <w:pPr>
        <w:rPr>
          <w:lang w:val="en-GB"/>
        </w:rPr>
      </w:pPr>
      <w:r>
        <w:t xml:space="preserve">In accordance with terms of reference, this evaluation covers the following financial instruments: European Social Fund, European Regional Development Fund, Cohesion Fund/ISPA, European Agricultural Fund for Rural Development, </w:t>
      </w:r>
      <w:r w:rsidRPr="007C5E65">
        <w:t>European Fisheries Fund</w:t>
      </w:r>
      <w:r>
        <w:t>, European pre-accession financial instruments Phare and SAPARD, INTERREG, Objective 3 “Territorial Cooperation” of the EU Cohesion Policy (ERAF), financial instrument of the European Economic Area, Norwegian Bilateral Financial Instrument, Swiss-Latvian cooperation programme. The above financial instruments are referred to as “</w:t>
      </w:r>
      <w:r w:rsidRPr="00D73466">
        <w:rPr>
          <w:b/>
          <w:i/>
        </w:rPr>
        <w:t>funds</w:t>
      </w:r>
      <w:r>
        <w:t>” in the text below.</w:t>
      </w:r>
    </w:p>
    <w:p w:rsidR="00D73466" w:rsidRDefault="00723367" w:rsidP="000C6C12">
      <w:pPr>
        <w:rPr>
          <w:lang w:val="en-GB"/>
        </w:rPr>
      </w:pPr>
      <w:r w:rsidRPr="00D31979">
        <w:rPr>
          <w:lang w:val="en-GB"/>
        </w:rPr>
        <w:t>We classify fund investment</w:t>
      </w:r>
      <w:r w:rsidR="008C2C3E">
        <w:rPr>
          <w:lang w:val="en-GB"/>
        </w:rPr>
        <w:t>s</w:t>
      </w:r>
      <w:r w:rsidR="000C6C12" w:rsidRPr="00D31979">
        <w:rPr>
          <w:lang w:val="en-GB"/>
        </w:rPr>
        <w:t xml:space="preserve"> according to three criteria</w:t>
      </w:r>
      <w:r w:rsidR="0006359A" w:rsidRPr="00D31979">
        <w:rPr>
          <w:rStyle w:val="FootnoteReference"/>
          <w:lang w:val="en-GB"/>
        </w:rPr>
        <w:footnoteReference w:id="2"/>
      </w:r>
      <w:r w:rsidR="0006359A" w:rsidRPr="00D31979">
        <w:rPr>
          <w:lang w:val="en-GB"/>
        </w:rPr>
        <w:t xml:space="preserve">. </w:t>
      </w:r>
      <w:r w:rsidR="000C6C12" w:rsidRPr="00D31979">
        <w:rPr>
          <w:lang w:val="en-GB"/>
        </w:rPr>
        <w:t>First</w:t>
      </w:r>
      <w:r w:rsidR="008C2C3E">
        <w:rPr>
          <w:lang w:val="en-GB"/>
        </w:rPr>
        <w:t>ly</w:t>
      </w:r>
      <w:r w:rsidR="000C6C12" w:rsidRPr="00D31979">
        <w:rPr>
          <w:lang w:val="en-GB"/>
        </w:rPr>
        <w:t xml:space="preserve">, we classify fund investment according to </w:t>
      </w:r>
      <w:r w:rsidRPr="00D31979">
        <w:rPr>
          <w:lang w:val="en-GB"/>
        </w:rPr>
        <w:t>its</w:t>
      </w:r>
      <w:r w:rsidR="000C6C12" w:rsidRPr="00D31979">
        <w:rPr>
          <w:lang w:val="en-GB"/>
        </w:rPr>
        <w:t xml:space="preserve"> effect on the production function, which allows us to evaluate the long-term impact of </w:t>
      </w:r>
      <w:r w:rsidR="00D73466">
        <w:rPr>
          <w:lang w:val="en-GB"/>
        </w:rPr>
        <w:t xml:space="preserve">the </w:t>
      </w:r>
      <w:r w:rsidR="000C6C12" w:rsidRPr="00D31979">
        <w:rPr>
          <w:lang w:val="en-GB"/>
        </w:rPr>
        <w:t>funds on production capacity;</w:t>
      </w:r>
      <w:r w:rsidRPr="00D31979">
        <w:rPr>
          <w:lang w:val="en-GB"/>
        </w:rPr>
        <w:t xml:space="preserve"> the categories </w:t>
      </w:r>
      <w:r w:rsidR="008C2C3E">
        <w:rPr>
          <w:lang w:val="en-GB"/>
        </w:rPr>
        <w:t>are</w:t>
      </w:r>
      <w:r w:rsidRPr="00D31979">
        <w:rPr>
          <w:lang w:val="en-GB"/>
        </w:rPr>
        <w:t xml:space="preserve"> investment</w:t>
      </w:r>
      <w:r w:rsidR="000C6C12" w:rsidRPr="00D31979">
        <w:rPr>
          <w:lang w:val="en-GB"/>
        </w:rPr>
        <w:t xml:space="preserve"> in infrastructure </w:t>
      </w:r>
      <w:r w:rsidR="000C6C12" w:rsidRPr="00D31979">
        <w:rPr>
          <w:lang w:val="en-GB"/>
        </w:rPr>
        <w:lastRenderedPageBreak/>
        <w:t>(A-type expenditure</w:t>
      </w:r>
      <w:r w:rsidR="008C2C3E">
        <w:rPr>
          <w:lang w:val="en-GB"/>
        </w:rPr>
        <w:t>s</w:t>
      </w:r>
      <w:r w:rsidR="000C6C12" w:rsidRPr="00D31979">
        <w:rPr>
          <w:lang w:val="en-GB"/>
        </w:rPr>
        <w:t>)</w:t>
      </w:r>
      <w:r w:rsidR="0006359A" w:rsidRPr="00D31979">
        <w:rPr>
          <w:lang w:val="en-GB"/>
        </w:rPr>
        <w:t xml:space="preserve">, </w:t>
      </w:r>
      <w:r w:rsidR="00081465" w:rsidRPr="00D31979">
        <w:rPr>
          <w:lang w:val="en-GB"/>
        </w:rPr>
        <w:t>investmen</w:t>
      </w:r>
      <w:r w:rsidRPr="00D31979">
        <w:rPr>
          <w:lang w:val="en-GB"/>
        </w:rPr>
        <w:t>t</w:t>
      </w:r>
      <w:r w:rsidR="00081465" w:rsidRPr="00D31979">
        <w:rPr>
          <w:lang w:val="en-GB"/>
        </w:rPr>
        <w:t xml:space="preserve"> in technology</w:t>
      </w:r>
      <w:r w:rsidR="000C6C12" w:rsidRPr="00D31979">
        <w:rPr>
          <w:lang w:val="en-GB"/>
        </w:rPr>
        <w:t xml:space="preserve"> (F-type expenditure</w:t>
      </w:r>
      <w:r w:rsidR="008C2C3E">
        <w:rPr>
          <w:lang w:val="en-GB"/>
        </w:rPr>
        <w:t>s</w:t>
      </w:r>
      <w:r w:rsidR="000C6C12" w:rsidRPr="00D31979">
        <w:rPr>
          <w:lang w:val="en-GB"/>
        </w:rPr>
        <w:t>)</w:t>
      </w:r>
      <w:r w:rsidR="0006359A" w:rsidRPr="00D31979">
        <w:rPr>
          <w:lang w:val="en-GB"/>
        </w:rPr>
        <w:t xml:space="preserve">, </w:t>
      </w:r>
      <w:r w:rsidRPr="00D31979">
        <w:rPr>
          <w:lang w:val="en-GB"/>
        </w:rPr>
        <w:t>investment</w:t>
      </w:r>
      <w:r w:rsidR="000C6C12" w:rsidRPr="00D31979">
        <w:rPr>
          <w:lang w:val="en-GB"/>
        </w:rPr>
        <w:t xml:space="preserve"> in fixed capital (K-ty</w:t>
      </w:r>
      <w:r w:rsidRPr="00D31979">
        <w:rPr>
          <w:lang w:val="en-GB"/>
        </w:rPr>
        <w:t>pe expenditure</w:t>
      </w:r>
      <w:r w:rsidR="008C2C3E">
        <w:rPr>
          <w:lang w:val="en-GB"/>
        </w:rPr>
        <w:t>s</w:t>
      </w:r>
      <w:r w:rsidRPr="00D31979">
        <w:rPr>
          <w:lang w:val="en-GB"/>
        </w:rPr>
        <w:t>), and investment</w:t>
      </w:r>
      <w:r w:rsidR="000C6C12" w:rsidRPr="00D31979">
        <w:rPr>
          <w:lang w:val="en-GB"/>
        </w:rPr>
        <w:t xml:space="preserve"> in human capital (L-type expenditures)</w:t>
      </w:r>
      <w:r w:rsidR="0006359A" w:rsidRPr="00D31979">
        <w:rPr>
          <w:lang w:val="en-GB"/>
        </w:rPr>
        <w:t xml:space="preserve">. </w:t>
      </w:r>
      <w:r w:rsidR="000C6C12" w:rsidRPr="00D31979">
        <w:rPr>
          <w:lang w:val="en-GB"/>
        </w:rPr>
        <w:t xml:space="preserve">Secondly, bearing in mind that we model five sectors on the supply side, we assign the respective NACE codes to fund expenditures. </w:t>
      </w:r>
    </w:p>
    <w:p w:rsidR="00D73466" w:rsidRDefault="002C2A51" w:rsidP="000C6C12">
      <w:pPr>
        <w:rPr>
          <w:lang w:val="en-GB"/>
        </w:rPr>
      </w:pPr>
      <w:r>
        <w:rPr>
          <w:lang w:val="en-GB"/>
        </w:rPr>
        <w:t xml:space="preserve">Lastly, we attribute fund investment to one of the priorities. The analysed priorities have been agreed with the Finance Ministry and correspond to the terms of reference. The impact of the funds is analysed in two periods: 2004-2006 </w:t>
      </w:r>
      <w:r w:rsidR="00A27495">
        <w:rPr>
          <w:lang w:val="en-GB"/>
        </w:rPr>
        <w:t xml:space="preserve">programming </w:t>
      </w:r>
      <w:r>
        <w:rPr>
          <w:lang w:val="en-GB"/>
        </w:rPr>
        <w:t xml:space="preserve">period and 2007-2013 </w:t>
      </w:r>
      <w:r w:rsidR="00A27495">
        <w:rPr>
          <w:lang w:val="en-GB"/>
        </w:rPr>
        <w:t xml:space="preserve">programming </w:t>
      </w:r>
      <w:r>
        <w:rPr>
          <w:lang w:val="en-GB"/>
        </w:rPr>
        <w:t xml:space="preserve">period. The funds </w:t>
      </w:r>
      <w:r w:rsidR="00A27495">
        <w:rPr>
          <w:lang w:val="en-GB"/>
        </w:rPr>
        <w:t xml:space="preserve">which had different planning periods (e.g. </w:t>
      </w:r>
      <w:r w:rsidR="00A27495">
        <w:t>Norwegian Bilateral Financial Instrument)</w:t>
      </w:r>
      <w:r w:rsidR="00A27495">
        <w:rPr>
          <w:lang w:val="en-GB"/>
        </w:rPr>
        <w:t xml:space="preserve"> also have been added to one of the programming periods.</w:t>
      </w:r>
    </w:p>
    <w:p w:rsidR="00EB7F0D" w:rsidRDefault="00EB7F0D" w:rsidP="000C6C12">
      <w:pPr>
        <w:rPr>
          <w:lang w:val="en-GB"/>
        </w:rPr>
      </w:pPr>
      <w:r>
        <w:rPr>
          <w:lang w:val="en-GB"/>
        </w:rPr>
        <w:t>In the 2004-2006 programming period, the EU structural funds are analysed according to 4 priorities:</w:t>
      </w:r>
    </w:p>
    <w:p w:rsidR="00EB7F0D" w:rsidRDefault="00EB7F0D" w:rsidP="000C6C12">
      <w:pPr>
        <w:rPr>
          <w:lang w:val="en-GB"/>
        </w:rPr>
      </w:pPr>
      <w:r>
        <w:rPr>
          <w:lang w:val="en-GB"/>
        </w:rPr>
        <w:t>1. Promotion of territorial cohesion</w:t>
      </w:r>
    </w:p>
    <w:p w:rsidR="00EB7F0D" w:rsidRDefault="00EB7F0D" w:rsidP="000C6C12">
      <w:pPr>
        <w:rPr>
          <w:lang w:val="en-GB"/>
        </w:rPr>
      </w:pPr>
      <w:r>
        <w:rPr>
          <w:lang w:val="en-GB"/>
        </w:rPr>
        <w:t>2. Promotion of enterprise and innovations</w:t>
      </w:r>
    </w:p>
    <w:p w:rsidR="00EB7F0D" w:rsidRDefault="00EB7F0D" w:rsidP="000C6C12">
      <w:pPr>
        <w:rPr>
          <w:lang w:val="en-GB"/>
        </w:rPr>
      </w:pPr>
      <w:r>
        <w:rPr>
          <w:lang w:val="en-GB"/>
        </w:rPr>
        <w:t xml:space="preserve">3. Development of human resources and promotion of employment </w:t>
      </w:r>
    </w:p>
    <w:p w:rsidR="00EB7F0D" w:rsidRDefault="00EB7F0D" w:rsidP="000C6C12">
      <w:pPr>
        <w:rPr>
          <w:lang w:val="en-GB"/>
        </w:rPr>
      </w:pPr>
      <w:r>
        <w:rPr>
          <w:lang w:val="en-GB"/>
        </w:rPr>
        <w:t>4. Promotion of development of agriculture and fisheries.</w:t>
      </w:r>
    </w:p>
    <w:p w:rsidR="00EB7F0D" w:rsidRDefault="00EB7F0D" w:rsidP="000C6C12">
      <w:pPr>
        <w:rPr>
          <w:lang w:val="en-GB"/>
        </w:rPr>
      </w:pPr>
      <w:r>
        <w:rPr>
          <w:lang w:val="en-GB"/>
        </w:rPr>
        <w:t>Apart from the EU structural</w:t>
      </w:r>
      <w:r w:rsidR="000B2C09">
        <w:rPr>
          <w:lang w:val="en-GB"/>
        </w:rPr>
        <w:t xml:space="preserve"> funds</w:t>
      </w:r>
      <w:r>
        <w:rPr>
          <w:lang w:val="en-GB"/>
        </w:rPr>
        <w:t>, the 2004-2006 period includes INTERREG, Phare and SAPARD.</w:t>
      </w:r>
    </w:p>
    <w:p w:rsidR="00EB7F0D" w:rsidRDefault="00ED19A3" w:rsidP="000C6C12">
      <w:pPr>
        <w:rPr>
          <w:lang w:val="en-GB"/>
        </w:rPr>
      </w:pPr>
      <w:r>
        <w:rPr>
          <w:lang w:val="en-GB"/>
        </w:rPr>
        <w:t xml:space="preserve">The </w:t>
      </w:r>
      <w:r w:rsidR="00EB7F0D">
        <w:rPr>
          <w:lang w:val="en-GB"/>
        </w:rPr>
        <w:t xml:space="preserve">2007-2013 </w:t>
      </w:r>
      <w:r>
        <w:rPr>
          <w:lang w:val="en-GB"/>
        </w:rPr>
        <w:t>period</w:t>
      </w:r>
      <w:r w:rsidR="00C40175">
        <w:rPr>
          <w:lang w:val="en-GB"/>
        </w:rPr>
        <w:t xml:space="preserve"> is analysed according to eight priorities and</w:t>
      </w:r>
      <w:r>
        <w:rPr>
          <w:lang w:val="en-GB"/>
        </w:rPr>
        <w:t xml:space="preserve"> includes</w:t>
      </w:r>
      <w:r w:rsidR="00C40175">
        <w:rPr>
          <w:lang w:val="en-GB"/>
        </w:rPr>
        <w:t xml:space="preserve"> </w:t>
      </w:r>
      <w:r>
        <w:rPr>
          <w:lang w:val="en-GB"/>
        </w:rPr>
        <w:t xml:space="preserve">EU structural funds of the 2007-2013 programming period, </w:t>
      </w:r>
      <w:r w:rsidR="00C40175" w:rsidRPr="00C40175">
        <w:rPr>
          <w:lang w:val="en-GB"/>
        </w:rPr>
        <w:t>European Agricult</w:t>
      </w:r>
      <w:r w:rsidR="00C40175">
        <w:rPr>
          <w:lang w:val="en-GB"/>
        </w:rPr>
        <w:t>ural Fund for Rural Development and</w:t>
      </w:r>
      <w:r w:rsidR="00C40175" w:rsidRPr="00C40175">
        <w:rPr>
          <w:lang w:val="en-GB"/>
        </w:rPr>
        <w:t xml:space="preserve"> European Fisheries Fund</w:t>
      </w:r>
      <w:r w:rsidR="00C40175">
        <w:rPr>
          <w:lang w:val="en-GB"/>
        </w:rPr>
        <w:t xml:space="preserve">. The table </w:t>
      </w:r>
      <w:r w:rsidR="000B2C09">
        <w:rPr>
          <w:lang w:val="en-GB"/>
        </w:rPr>
        <w:t xml:space="preserve">presenting </w:t>
      </w:r>
      <w:r w:rsidR="000B2C09" w:rsidRPr="00D31979">
        <w:rPr>
          <w:lang w:val="en-GB"/>
        </w:rPr>
        <w:t xml:space="preserve">matching </w:t>
      </w:r>
      <w:r w:rsidR="000B2C09">
        <w:rPr>
          <w:lang w:val="en-GB"/>
        </w:rPr>
        <w:t xml:space="preserve">between the analysed eight </w:t>
      </w:r>
      <w:r w:rsidR="000B2C09" w:rsidRPr="00D31979">
        <w:rPr>
          <w:lang w:val="en-GB"/>
        </w:rPr>
        <w:t xml:space="preserve">priorities </w:t>
      </w:r>
      <w:r w:rsidR="000B2C09">
        <w:rPr>
          <w:lang w:val="en-GB"/>
        </w:rPr>
        <w:t xml:space="preserve">and priorities </w:t>
      </w:r>
      <w:r w:rsidR="000B2C09" w:rsidRPr="00D31979">
        <w:rPr>
          <w:lang w:val="en-GB"/>
        </w:rPr>
        <w:t>determined in EC Regulation 1828/2006</w:t>
      </w:r>
      <w:r w:rsidR="000B2C09">
        <w:rPr>
          <w:lang w:val="en-GB"/>
        </w:rPr>
        <w:t xml:space="preserve">, agreed with </w:t>
      </w:r>
      <w:r w:rsidR="000B2C09" w:rsidRPr="00970AC6">
        <w:rPr>
          <w:lang w:val="en-GB"/>
        </w:rPr>
        <w:t>the Finance Ministry, is included in Annex (table P.1). The analysed 8 priorities are:</w:t>
      </w:r>
    </w:p>
    <w:p w:rsidR="000B2C09" w:rsidRDefault="000B2C09" w:rsidP="000C6C12">
      <w:pPr>
        <w:rPr>
          <w:lang w:val="en-GB"/>
        </w:rPr>
      </w:pPr>
      <w:r>
        <w:rPr>
          <w:lang w:val="en-GB"/>
        </w:rPr>
        <w:t>1. Research and technology development</w:t>
      </w:r>
    </w:p>
    <w:p w:rsidR="000B2C09" w:rsidRDefault="000B2C09" w:rsidP="000C6C12">
      <w:pPr>
        <w:rPr>
          <w:lang w:val="en-GB"/>
        </w:rPr>
      </w:pPr>
      <w:r>
        <w:rPr>
          <w:lang w:val="en-GB"/>
        </w:rPr>
        <w:t>2. Innovations and entrepreneurship</w:t>
      </w:r>
    </w:p>
    <w:p w:rsidR="000B2C09" w:rsidRDefault="000B2C09" w:rsidP="000C6C12">
      <w:pPr>
        <w:rPr>
          <w:lang w:val="en-GB"/>
        </w:rPr>
      </w:pPr>
      <w:r>
        <w:rPr>
          <w:lang w:val="en-GB"/>
        </w:rPr>
        <w:t>3. Information society</w:t>
      </w:r>
    </w:p>
    <w:p w:rsidR="000B2C09" w:rsidRDefault="000B2C09" w:rsidP="000C6C12">
      <w:pPr>
        <w:rPr>
          <w:lang w:val="en-GB"/>
        </w:rPr>
      </w:pPr>
      <w:r>
        <w:rPr>
          <w:lang w:val="en-GB"/>
        </w:rPr>
        <w:t>4. Transport</w:t>
      </w:r>
    </w:p>
    <w:p w:rsidR="000B2C09" w:rsidRDefault="000B2C09" w:rsidP="000C6C12">
      <w:pPr>
        <w:rPr>
          <w:lang w:val="en-GB"/>
        </w:rPr>
      </w:pPr>
      <w:r>
        <w:rPr>
          <w:lang w:val="en-GB"/>
        </w:rPr>
        <w:t>5. Energy</w:t>
      </w:r>
    </w:p>
    <w:p w:rsidR="000B2C09" w:rsidRDefault="000B2C09" w:rsidP="000C6C12">
      <w:pPr>
        <w:rPr>
          <w:lang w:val="en-GB"/>
        </w:rPr>
      </w:pPr>
      <w:r>
        <w:rPr>
          <w:lang w:val="en-GB"/>
        </w:rPr>
        <w:t>6. Environmental protection and risk reduction</w:t>
      </w:r>
    </w:p>
    <w:p w:rsidR="000B2C09" w:rsidRDefault="000B2C09" w:rsidP="000C6C12">
      <w:pPr>
        <w:rPr>
          <w:lang w:val="en-GB"/>
        </w:rPr>
      </w:pPr>
      <w:r>
        <w:rPr>
          <w:lang w:val="en-GB"/>
        </w:rPr>
        <w:t xml:space="preserve">7. Human capital, employment, social integration </w:t>
      </w:r>
    </w:p>
    <w:p w:rsidR="000B2C09" w:rsidRDefault="000B2C09" w:rsidP="000C6C12">
      <w:pPr>
        <w:rPr>
          <w:lang w:val="en-GB"/>
        </w:rPr>
      </w:pPr>
      <w:r>
        <w:rPr>
          <w:lang w:val="en-GB"/>
        </w:rPr>
        <w:t>8. Education</w:t>
      </w:r>
    </w:p>
    <w:p w:rsidR="00A2106B" w:rsidRDefault="00A2106B" w:rsidP="00FC6076">
      <w:pPr>
        <w:rPr>
          <w:lang w:val="en-GB"/>
        </w:rPr>
      </w:pPr>
      <w:r>
        <w:rPr>
          <w:lang w:val="en-GB"/>
        </w:rPr>
        <w:t xml:space="preserve">Apart from the above mentioned funds, 2007-2013 period includes </w:t>
      </w:r>
      <w:r w:rsidRPr="00A2106B">
        <w:rPr>
          <w:lang w:val="en-GB"/>
        </w:rPr>
        <w:t>Objective 3 “Territorial Cooperation” of the EU Cohesion Policy</w:t>
      </w:r>
      <w:r>
        <w:rPr>
          <w:lang w:val="en-GB"/>
        </w:rPr>
        <w:t xml:space="preserve">, </w:t>
      </w:r>
      <w:r w:rsidRPr="00A2106B">
        <w:rPr>
          <w:lang w:val="en-GB"/>
        </w:rPr>
        <w:t>Norwegian Bilateral Financial Instrument</w:t>
      </w:r>
      <w:r>
        <w:rPr>
          <w:lang w:val="en-GB"/>
        </w:rPr>
        <w:t xml:space="preserve"> and </w:t>
      </w:r>
      <w:r w:rsidRPr="00A2106B">
        <w:rPr>
          <w:lang w:val="en-GB"/>
        </w:rPr>
        <w:t>Swiss-Latvian cooperation programme</w:t>
      </w:r>
      <w:r>
        <w:rPr>
          <w:lang w:val="en-GB"/>
        </w:rPr>
        <w:t>.</w:t>
      </w:r>
      <w:r w:rsidRPr="00A2106B">
        <w:rPr>
          <w:lang w:val="en-GB"/>
        </w:rPr>
        <w:t xml:space="preserve"> </w:t>
      </w:r>
    </w:p>
    <w:p w:rsidR="00F60903" w:rsidRPr="00D31979" w:rsidRDefault="0018359B" w:rsidP="00FC6076">
      <w:pPr>
        <w:rPr>
          <w:lang w:val="en-GB"/>
        </w:rPr>
      </w:pPr>
      <w:r w:rsidRPr="00D31979">
        <w:rPr>
          <w:lang w:val="en-GB"/>
        </w:rPr>
        <w:lastRenderedPageBreak/>
        <w:t>Figure 2.1 </w:t>
      </w:r>
      <w:r w:rsidR="008D17B1" w:rsidRPr="00D31979">
        <w:rPr>
          <w:lang w:val="en-GB"/>
        </w:rPr>
        <w:t>shows t</w:t>
      </w:r>
      <w:r w:rsidR="00723367" w:rsidRPr="00D31979">
        <w:rPr>
          <w:lang w:val="en-GB"/>
        </w:rPr>
        <w:t>he structure of fund investment</w:t>
      </w:r>
      <w:r w:rsidR="008D17B1" w:rsidRPr="00D31979">
        <w:rPr>
          <w:lang w:val="en-GB"/>
        </w:rPr>
        <w:t xml:space="preserve"> according </w:t>
      </w:r>
      <w:r w:rsidR="00723367" w:rsidRPr="00D31979">
        <w:rPr>
          <w:lang w:val="en-GB"/>
        </w:rPr>
        <w:t>by</w:t>
      </w:r>
      <w:r w:rsidR="008D17B1" w:rsidRPr="00D31979">
        <w:rPr>
          <w:lang w:val="en-GB"/>
        </w:rPr>
        <w:t xml:space="preserve"> economic categories from 2001 </w:t>
      </w:r>
      <w:r w:rsidR="00685390" w:rsidRPr="00D31979">
        <w:rPr>
          <w:lang w:val="en-GB"/>
        </w:rPr>
        <w:t>(</w:t>
      </w:r>
      <w:r w:rsidR="008D17B1" w:rsidRPr="00D31979">
        <w:rPr>
          <w:lang w:val="en-GB"/>
        </w:rPr>
        <w:t>the year in which Latvia began to receive pre-accession funds</w:t>
      </w:r>
      <w:r w:rsidR="00685390" w:rsidRPr="00D31979">
        <w:rPr>
          <w:lang w:val="en-GB"/>
        </w:rPr>
        <w:t xml:space="preserve">) </w:t>
      </w:r>
      <w:r w:rsidR="008D17B1" w:rsidRPr="00D31979">
        <w:rPr>
          <w:lang w:val="en-GB"/>
        </w:rPr>
        <w:t>to</w:t>
      </w:r>
      <w:r w:rsidR="00585842" w:rsidRPr="00D31979">
        <w:rPr>
          <w:lang w:val="en-GB"/>
        </w:rPr>
        <w:t xml:space="preserve"> 2015</w:t>
      </w:r>
      <w:r w:rsidR="008D17B1" w:rsidRPr="00D31979">
        <w:rPr>
          <w:lang w:val="en-GB"/>
        </w:rPr>
        <w:t xml:space="preserve"> </w:t>
      </w:r>
      <w:r w:rsidR="00685390" w:rsidRPr="00D31979">
        <w:rPr>
          <w:lang w:val="en-GB"/>
        </w:rPr>
        <w:t>(</w:t>
      </w:r>
      <w:r w:rsidR="008D17B1" w:rsidRPr="00D31979">
        <w:rPr>
          <w:lang w:val="en-GB"/>
        </w:rPr>
        <w:t xml:space="preserve">according to the so-called </w:t>
      </w:r>
      <w:r w:rsidR="00685390" w:rsidRPr="00D31979">
        <w:rPr>
          <w:lang w:val="en-GB"/>
        </w:rPr>
        <w:t xml:space="preserve">n+2 </w:t>
      </w:r>
      <w:r w:rsidR="008D17B1" w:rsidRPr="00D31979">
        <w:rPr>
          <w:lang w:val="en-GB"/>
        </w:rPr>
        <w:t>rule</w:t>
      </w:r>
      <w:r w:rsidR="00685390" w:rsidRPr="00D31979">
        <w:rPr>
          <w:lang w:val="en-GB"/>
        </w:rPr>
        <w:t xml:space="preserve">, </w:t>
      </w:r>
      <w:r w:rsidR="008D17B1" w:rsidRPr="00D31979">
        <w:rPr>
          <w:lang w:val="en-GB"/>
        </w:rPr>
        <w:t xml:space="preserve">funds of the </w:t>
      </w:r>
      <w:r w:rsidR="00031188" w:rsidRPr="00D31979">
        <w:rPr>
          <w:lang w:val="en-GB"/>
        </w:rPr>
        <w:t xml:space="preserve">2007-2013 </w:t>
      </w:r>
      <w:r w:rsidR="008D17B1" w:rsidRPr="00D31979">
        <w:rPr>
          <w:lang w:val="en-GB"/>
        </w:rPr>
        <w:t>planning period may be use</w:t>
      </w:r>
      <w:r w:rsidR="00585842" w:rsidRPr="00D31979">
        <w:rPr>
          <w:lang w:val="en-GB"/>
        </w:rPr>
        <w:t>d until 2015</w:t>
      </w:r>
      <w:r w:rsidR="00081465" w:rsidRPr="00D31979">
        <w:rPr>
          <w:lang w:val="en-GB"/>
        </w:rPr>
        <w:t>,</w:t>
      </w:r>
      <w:r w:rsidR="000352FD" w:rsidRPr="00D31979">
        <w:rPr>
          <w:lang w:val="en-GB"/>
        </w:rPr>
        <w:t xml:space="preserve"> inclusive). It can be seen that the bulk of investmen</w:t>
      </w:r>
      <w:r w:rsidR="00723367" w:rsidRPr="00D31979">
        <w:rPr>
          <w:lang w:val="en-GB"/>
        </w:rPr>
        <w:t>t</w:t>
      </w:r>
      <w:r w:rsidR="000352FD" w:rsidRPr="00D31979">
        <w:rPr>
          <w:lang w:val="en-GB"/>
        </w:rPr>
        <w:t xml:space="preserve"> </w:t>
      </w:r>
      <w:r w:rsidR="00723367" w:rsidRPr="00D31979">
        <w:rPr>
          <w:lang w:val="en-GB"/>
        </w:rPr>
        <w:t>was</w:t>
      </w:r>
      <w:r w:rsidR="000352FD" w:rsidRPr="00D31979">
        <w:rPr>
          <w:lang w:val="en-GB"/>
        </w:rPr>
        <w:t xml:space="preserve"> geared towards infrastructure development, </w:t>
      </w:r>
      <w:r w:rsidR="00D149E9">
        <w:rPr>
          <w:lang w:val="en-GB"/>
        </w:rPr>
        <w:t>with</w:t>
      </w:r>
      <w:r w:rsidR="000352FD" w:rsidRPr="00D31979">
        <w:rPr>
          <w:lang w:val="en-GB"/>
        </w:rPr>
        <w:t xml:space="preserve"> A-type expenditure</w:t>
      </w:r>
      <w:r w:rsidR="00D149E9">
        <w:rPr>
          <w:lang w:val="en-GB"/>
        </w:rPr>
        <w:t>s</w:t>
      </w:r>
      <w:r w:rsidR="000352FD" w:rsidRPr="00D31979">
        <w:rPr>
          <w:lang w:val="en-GB"/>
        </w:rPr>
        <w:t xml:space="preserve"> </w:t>
      </w:r>
      <w:r w:rsidR="00D149E9">
        <w:rPr>
          <w:lang w:val="en-GB"/>
        </w:rPr>
        <w:t xml:space="preserve">making </w:t>
      </w:r>
      <w:r w:rsidR="00577861">
        <w:rPr>
          <w:lang w:val="en-GB"/>
        </w:rPr>
        <w:t xml:space="preserve">up </w:t>
      </w:r>
      <w:r w:rsidR="00577861" w:rsidRPr="00D31979">
        <w:rPr>
          <w:lang w:val="en-GB"/>
        </w:rPr>
        <w:t>50</w:t>
      </w:r>
      <w:r w:rsidR="000352FD" w:rsidRPr="00D31979">
        <w:rPr>
          <w:lang w:val="en-GB"/>
        </w:rPr>
        <w:t>% of total investment over the whole period. The second most significant catego</w:t>
      </w:r>
      <w:r w:rsidR="00081465" w:rsidRPr="00D31979">
        <w:rPr>
          <w:lang w:val="en-GB"/>
        </w:rPr>
        <w:t>ry of investment is investment</w:t>
      </w:r>
      <w:r w:rsidR="000352FD" w:rsidRPr="00D31979">
        <w:rPr>
          <w:lang w:val="en-GB"/>
        </w:rPr>
        <w:t xml:space="preserve"> in fixed capit</w:t>
      </w:r>
      <w:r w:rsidR="00723367" w:rsidRPr="00D31979">
        <w:rPr>
          <w:lang w:val="en-GB"/>
        </w:rPr>
        <w:t>al (about 36% of all investment</w:t>
      </w:r>
      <w:r w:rsidR="000352FD" w:rsidRPr="00D31979">
        <w:rPr>
          <w:lang w:val="en-GB"/>
        </w:rPr>
        <w:t>). Investm</w:t>
      </w:r>
      <w:r w:rsidR="00081465" w:rsidRPr="00D31979">
        <w:rPr>
          <w:lang w:val="en-GB"/>
        </w:rPr>
        <w:t>ent</w:t>
      </w:r>
      <w:r w:rsidR="000352FD" w:rsidRPr="00D31979">
        <w:rPr>
          <w:lang w:val="en-GB"/>
        </w:rPr>
        <w:t xml:space="preserve"> in human capital constitute</w:t>
      </w:r>
      <w:r w:rsidR="00081465" w:rsidRPr="00D31979">
        <w:rPr>
          <w:lang w:val="en-GB"/>
        </w:rPr>
        <w:t>s about 10%, but investment</w:t>
      </w:r>
      <w:r w:rsidR="000352FD" w:rsidRPr="00D31979">
        <w:rPr>
          <w:lang w:val="en-GB"/>
        </w:rPr>
        <w:t xml:space="preserve"> in the development of new technologies—slightly more than 4%.</w:t>
      </w:r>
    </w:p>
    <w:p w:rsidR="00685390" w:rsidRPr="00D31979" w:rsidRDefault="005C675A" w:rsidP="00685390">
      <w:pPr>
        <w:spacing w:after="0"/>
        <w:rPr>
          <w:b/>
          <w:lang w:val="en-GB"/>
        </w:rPr>
      </w:pPr>
      <w:r w:rsidRPr="00D31979">
        <w:rPr>
          <w:b/>
          <w:lang w:val="en-GB"/>
        </w:rPr>
        <w:t xml:space="preserve">Figure </w:t>
      </w:r>
      <w:r w:rsidR="00377454" w:rsidRPr="00D31979">
        <w:rPr>
          <w:b/>
          <w:lang w:val="en-GB"/>
        </w:rPr>
        <w:t>2.</w:t>
      </w:r>
      <w:r w:rsidR="00746F4E" w:rsidRPr="00D31979">
        <w:rPr>
          <w:b/>
          <w:lang w:val="en-GB"/>
        </w:rPr>
        <w:t>1</w:t>
      </w:r>
      <w:r w:rsidR="00685390" w:rsidRPr="00D31979">
        <w:rPr>
          <w:b/>
          <w:lang w:val="en-GB"/>
        </w:rPr>
        <w:t xml:space="preserve">: </w:t>
      </w:r>
      <w:r w:rsidR="000B2C09">
        <w:rPr>
          <w:b/>
          <w:lang w:val="en-GB"/>
        </w:rPr>
        <w:t>F</w:t>
      </w:r>
      <w:r w:rsidR="005D1BA7" w:rsidRPr="00D31979">
        <w:rPr>
          <w:b/>
          <w:lang w:val="en-GB"/>
        </w:rPr>
        <w:t>und investment</w:t>
      </w:r>
      <w:r w:rsidR="000352FD" w:rsidRPr="00D31979">
        <w:rPr>
          <w:b/>
          <w:lang w:val="en-GB"/>
        </w:rPr>
        <w:t xml:space="preserve"> by </w:t>
      </w:r>
      <w:r w:rsidR="000B2C09">
        <w:rPr>
          <w:b/>
          <w:lang w:val="en-GB"/>
        </w:rPr>
        <w:t>economic category in 200</w:t>
      </w:r>
      <w:r w:rsidR="000352FD" w:rsidRPr="00D31979">
        <w:rPr>
          <w:b/>
          <w:lang w:val="en-GB"/>
        </w:rPr>
        <w:t>1-201</w:t>
      </w:r>
      <w:r w:rsidR="001827B4" w:rsidRPr="00D31979">
        <w:rPr>
          <w:b/>
          <w:lang w:val="en-GB"/>
        </w:rPr>
        <w:t>5</w:t>
      </w:r>
      <w:r w:rsidR="000352FD" w:rsidRPr="00D31979">
        <w:rPr>
          <w:b/>
          <w:lang w:val="en-GB"/>
        </w:rPr>
        <w:t>, % of total</w:t>
      </w:r>
      <w:r w:rsidR="001827B4" w:rsidRPr="00D31979">
        <w:rPr>
          <w:b/>
          <w:lang w:val="en-GB"/>
        </w:rPr>
        <w:t>*</w:t>
      </w:r>
    </w:p>
    <w:p w:rsidR="00685390" w:rsidRPr="00D31979" w:rsidRDefault="001827B4" w:rsidP="00685390">
      <w:pPr>
        <w:spacing w:after="0"/>
        <w:rPr>
          <w:lang w:val="en-GB"/>
        </w:rPr>
      </w:pPr>
      <w:r w:rsidRPr="00D31979">
        <w:rPr>
          <w:noProof/>
          <w:lang w:val="lv-LV" w:eastAsia="lv-LV"/>
        </w:rPr>
        <w:drawing>
          <wp:inline distT="0" distB="0" distL="0" distR="0" wp14:anchorId="6B3B0444" wp14:editId="521F9CE3">
            <wp:extent cx="4608830" cy="28473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8830" cy="2847340"/>
                    </a:xfrm>
                    <a:prstGeom prst="rect">
                      <a:avLst/>
                    </a:prstGeom>
                    <a:noFill/>
                  </pic:spPr>
                </pic:pic>
              </a:graphicData>
            </a:graphic>
          </wp:inline>
        </w:drawing>
      </w:r>
    </w:p>
    <w:p w:rsidR="001827B4" w:rsidRPr="00D31979" w:rsidRDefault="001827B4" w:rsidP="001827B4">
      <w:pPr>
        <w:spacing w:after="0"/>
        <w:rPr>
          <w:i/>
          <w:lang w:val="en-GB"/>
        </w:rPr>
      </w:pPr>
      <w:r w:rsidRPr="00D31979">
        <w:rPr>
          <w:i/>
          <w:lang w:val="en-GB"/>
        </w:rPr>
        <w:t xml:space="preserve">* </w:t>
      </w:r>
      <w:r w:rsidR="000B2C09">
        <w:rPr>
          <w:i/>
          <w:lang w:val="en-GB"/>
        </w:rPr>
        <w:t xml:space="preserve">All analysed financial instruments are included. </w:t>
      </w:r>
      <w:r w:rsidRPr="00D31979">
        <w:rPr>
          <w:i/>
          <w:lang w:val="en-GB"/>
        </w:rPr>
        <w:t xml:space="preserve">Includes </w:t>
      </w:r>
      <w:r w:rsidR="000B2C09">
        <w:rPr>
          <w:i/>
          <w:lang w:val="en-GB"/>
        </w:rPr>
        <w:t xml:space="preserve">fund </w:t>
      </w:r>
      <w:r w:rsidRPr="00D31979">
        <w:rPr>
          <w:i/>
          <w:lang w:val="en-GB"/>
        </w:rPr>
        <w:t>financing, public and private co-financing</w:t>
      </w:r>
      <w:r w:rsidR="000B2C09">
        <w:rPr>
          <w:i/>
          <w:lang w:val="en-GB"/>
        </w:rPr>
        <w:t>.</w:t>
      </w:r>
    </w:p>
    <w:p w:rsidR="00685390" w:rsidRPr="00D31979" w:rsidRDefault="005C675A" w:rsidP="00FC6076">
      <w:pPr>
        <w:rPr>
          <w:i/>
          <w:lang w:val="en-GB"/>
        </w:rPr>
      </w:pPr>
      <w:r w:rsidRPr="00D31979">
        <w:rPr>
          <w:i/>
          <w:lang w:val="en-GB"/>
        </w:rPr>
        <w:t>Source: authors’ calculations</w:t>
      </w:r>
    </w:p>
    <w:p w:rsidR="0004196E" w:rsidRPr="00D31979" w:rsidRDefault="006D7944" w:rsidP="00FC6076">
      <w:pPr>
        <w:rPr>
          <w:lang w:val="en-GB"/>
        </w:rPr>
      </w:pPr>
      <w:r w:rsidRPr="00D31979">
        <w:rPr>
          <w:lang w:val="en-GB"/>
        </w:rPr>
        <w:t>The split of investment</w:t>
      </w:r>
      <w:r w:rsidR="005C675A" w:rsidRPr="00D31979">
        <w:rPr>
          <w:lang w:val="en-GB"/>
        </w:rPr>
        <w:t xml:space="preserve"> by NACE sector is more unifo</w:t>
      </w:r>
      <w:r w:rsidRPr="00D31979">
        <w:rPr>
          <w:lang w:val="en-GB"/>
        </w:rPr>
        <w:t>rm (see Figure 2.2). Investment</w:t>
      </w:r>
      <w:r w:rsidR="005C675A" w:rsidRPr="00D31979">
        <w:rPr>
          <w:lang w:val="en-GB"/>
        </w:rPr>
        <w:t xml:space="preserve"> in industry (CE-sector) receive</w:t>
      </w:r>
      <w:r w:rsidRPr="00D31979">
        <w:rPr>
          <w:lang w:val="en-GB"/>
        </w:rPr>
        <w:t>s</w:t>
      </w:r>
      <w:r w:rsidR="005C675A" w:rsidRPr="00D31979">
        <w:rPr>
          <w:lang w:val="en-GB"/>
        </w:rPr>
        <w:t xml:space="preserve"> the greatest share (30%) of total investment</w:t>
      </w:r>
      <w:r w:rsidRPr="00D31979">
        <w:rPr>
          <w:lang w:val="en-GB"/>
        </w:rPr>
        <w:t>, followed by investment</w:t>
      </w:r>
      <w:r w:rsidR="005C675A" w:rsidRPr="00D31979">
        <w:rPr>
          <w:lang w:val="en-GB"/>
        </w:rPr>
        <w:t xml:space="preserve"> in construction (F-sector), private services (GK-sector), and public services (LP-sector), with the last </w:t>
      </w:r>
      <w:r w:rsidR="001827B4" w:rsidRPr="00D31979">
        <w:rPr>
          <w:lang w:val="en-GB"/>
        </w:rPr>
        <w:t>three</w:t>
      </w:r>
      <w:r w:rsidR="005C675A" w:rsidRPr="00D31979">
        <w:rPr>
          <w:lang w:val="en-GB"/>
        </w:rPr>
        <w:t xml:space="preserve"> </w:t>
      </w:r>
      <w:r w:rsidRPr="00D31979">
        <w:rPr>
          <w:lang w:val="en-GB"/>
        </w:rPr>
        <w:t xml:space="preserve">categories </w:t>
      </w:r>
      <w:r w:rsidR="005C675A" w:rsidRPr="00D31979">
        <w:rPr>
          <w:lang w:val="en-GB"/>
        </w:rPr>
        <w:t>receiving a</w:t>
      </w:r>
      <w:r w:rsidRPr="00D31979">
        <w:rPr>
          <w:lang w:val="en-GB"/>
        </w:rPr>
        <w:t>bout 18-19% of total investment each. Investment</w:t>
      </w:r>
      <w:r w:rsidR="005C675A" w:rsidRPr="00D31979">
        <w:rPr>
          <w:lang w:val="en-GB"/>
        </w:rPr>
        <w:t xml:space="preserve"> in agriculture (AB-sector) constitute</w:t>
      </w:r>
      <w:r w:rsidRPr="00D31979">
        <w:rPr>
          <w:lang w:val="en-GB"/>
        </w:rPr>
        <w:t>s</w:t>
      </w:r>
      <w:r w:rsidR="005C675A" w:rsidRPr="00D31979">
        <w:rPr>
          <w:lang w:val="en-GB"/>
        </w:rPr>
        <w:t xml:space="preserve"> slightly more than 10%. However, </w:t>
      </w:r>
      <w:r w:rsidR="001827B4" w:rsidRPr="00D31979">
        <w:rPr>
          <w:lang w:val="en-GB"/>
        </w:rPr>
        <w:t xml:space="preserve">if the relative size of the sectors is taken into account, </w:t>
      </w:r>
      <w:r w:rsidR="005C675A" w:rsidRPr="00D31979">
        <w:rPr>
          <w:lang w:val="en-GB"/>
        </w:rPr>
        <w:t xml:space="preserve">the construction sector receives </w:t>
      </w:r>
      <w:r w:rsidR="00D149E9">
        <w:rPr>
          <w:lang w:val="en-GB"/>
        </w:rPr>
        <w:t xml:space="preserve">a disproportionate </w:t>
      </w:r>
      <w:r w:rsidRPr="00D31979">
        <w:rPr>
          <w:lang w:val="en-GB"/>
        </w:rPr>
        <w:t>share of all investment</w:t>
      </w:r>
      <w:r w:rsidR="00A818AF" w:rsidRPr="00D31979">
        <w:rPr>
          <w:lang w:val="en-GB"/>
        </w:rPr>
        <w:t>, while private and public services receiv</w:t>
      </w:r>
      <w:r w:rsidRPr="00D31979">
        <w:rPr>
          <w:lang w:val="en-GB"/>
        </w:rPr>
        <w:t>e a relatively small fraction</w:t>
      </w:r>
      <w:r w:rsidR="00A818AF" w:rsidRPr="00D31979">
        <w:rPr>
          <w:lang w:val="en-GB"/>
        </w:rPr>
        <w:t xml:space="preserve">. </w:t>
      </w:r>
    </w:p>
    <w:p w:rsidR="00304405" w:rsidRPr="00D31979" w:rsidRDefault="00A818AF" w:rsidP="001827B4">
      <w:pPr>
        <w:keepNext/>
        <w:spacing w:after="0"/>
        <w:rPr>
          <w:b/>
          <w:lang w:val="en-GB"/>
        </w:rPr>
      </w:pPr>
      <w:r w:rsidRPr="00D31979">
        <w:rPr>
          <w:b/>
          <w:lang w:val="en-GB"/>
        </w:rPr>
        <w:lastRenderedPageBreak/>
        <w:t xml:space="preserve">Figure </w:t>
      </w:r>
      <w:r w:rsidR="00377454" w:rsidRPr="00D31979">
        <w:rPr>
          <w:b/>
          <w:lang w:val="en-GB"/>
        </w:rPr>
        <w:t>2.</w:t>
      </w:r>
      <w:r w:rsidR="00746F4E" w:rsidRPr="00D31979">
        <w:rPr>
          <w:b/>
          <w:lang w:val="en-GB"/>
        </w:rPr>
        <w:t>2</w:t>
      </w:r>
      <w:r w:rsidR="00304405" w:rsidRPr="00D31979">
        <w:rPr>
          <w:b/>
          <w:lang w:val="en-GB"/>
        </w:rPr>
        <w:t xml:space="preserve">: </w:t>
      </w:r>
      <w:r w:rsidR="000B2C09">
        <w:rPr>
          <w:b/>
          <w:lang w:val="en-GB"/>
        </w:rPr>
        <w:t>F</w:t>
      </w:r>
      <w:r w:rsidRPr="00D31979">
        <w:rPr>
          <w:b/>
          <w:lang w:val="en-GB"/>
        </w:rPr>
        <w:t>und investment by NACE sector in 2001-201</w:t>
      </w:r>
      <w:r w:rsidR="001827B4" w:rsidRPr="00D31979">
        <w:rPr>
          <w:b/>
          <w:lang w:val="en-GB"/>
        </w:rPr>
        <w:t>5</w:t>
      </w:r>
      <w:r w:rsidRPr="00D31979">
        <w:rPr>
          <w:b/>
          <w:lang w:val="en-GB"/>
        </w:rPr>
        <w:t>, % of total</w:t>
      </w:r>
      <w:r w:rsidR="001827B4" w:rsidRPr="00D31979">
        <w:rPr>
          <w:b/>
          <w:lang w:val="en-GB"/>
        </w:rPr>
        <w:t>*</w:t>
      </w:r>
    </w:p>
    <w:p w:rsidR="00304405" w:rsidRPr="00D31979" w:rsidRDefault="001827B4" w:rsidP="00304405">
      <w:pPr>
        <w:spacing w:after="0"/>
        <w:rPr>
          <w:b/>
          <w:lang w:val="en-GB"/>
        </w:rPr>
      </w:pPr>
      <w:r w:rsidRPr="00D31979">
        <w:rPr>
          <w:b/>
          <w:noProof/>
          <w:lang w:val="lv-LV" w:eastAsia="lv-LV"/>
        </w:rPr>
        <w:drawing>
          <wp:inline distT="0" distB="0" distL="0" distR="0" wp14:anchorId="21D297CB" wp14:editId="27160CBB">
            <wp:extent cx="4566285" cy="286512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6285" cy="2865120"/>
                    </a:xfrm>
                    <a:prstGeom prst="rect">
                      <a:avLst/>
                    </a:prstGeom>
                    <a:noFill/>
                  </pic:spPr>
                </pic:pic>
              </a:graphicData>
            </a:graphic>
          </wp:inline>
        </w:drawing>
      </w:r>
    </w:p>
    <w:p w:rsidR="000B2C09" w:rsidRPr="00D31979" w:rsidRDefault="000B2C09" w:rsidP="000B2C09">
      <w:pPr>
        <w:spacing w:after="0"/>
        <w:rPr>
          <w:i/>
          <w:lang w:val="en-GB"/>
        </w:rPr>
      </w:pPr>
      <w:r w:rsidRPr="00D31979">
        <w:rPr>
          <w:i/>
          <w:lang w:val="en-GB"/>
        </w:rPr>
        <w:t xml:space="preserve">* </w:t>
      </w:r>
      <w:r>
        <w:rPr>
          <w:i/>
          <w:lang w:val="en-GB"/>
        </w:rPr>
        <w:t xml:space="preserve">All analysed financial instruments are included. </w:t>
      </w:r>
      <w:r w:rsidRPr="00D31979">
        <w:rPr>
          <w:i/>
          <w:lang w:val="en-GB"/>
        </w:rPr>
        <w:t xml:space="preserve">Includes </w:t>
      </w:r>
      <w:r>
        <w:rPr>
          <w:i/>
          <w:lang w:val="en-GB"/>
        </w:rPr>
        <w:t xml:space="preserve">fund </w:t>
      </w:r>
      <w:r w:rsidRPr="00D31979">
        <w:rPr>
          <w:i/>
          <w:lang w:val="en-GB"/>
        </w:rPr>
        <w:t>financing, public and private co-financing</w:t>
      </w:r>
      <w:r>
        <w:rPr>
          <w:i/>
          <w:lang w:val="en-GB"/>
        </w:rPr>
        <w:t>.</w:t>
      </w:r>
    </w:p>
    <w:p w:rsidR="00304405" w:rsidRPr="00D31979" w:rsidRDefault="005C675A" w:rsidP="00304405">
      <w:pPr>
        <w:rPr>
          <w:i/>
          <w:lang w:val="en-GB"/>
        </w:rPr>
      </w:pPr>
      <w:r w:rsidRPr="00D31979">
        <w:rPr>
          <w:i/>
          <w:lang w:val="en-GB"/>
        </w:rPr>
        <w:t>Source: authors’ calculations</w:t>
      </w:r>
    </w:p>
    <w:p w:rsidR="005407B5" w:rsidRPr="00D31979" w:rsidRDefault="00613E71" w:rsidP="00613E71">
      <w:pPr>
        <w:rPr>
          <w:lang w:val="en-GB"/>
        </w:rPr>
      </w:pPr>
      <w:r w:rsidRPr="00D31979">
        <w:rPr>
          <w:lang w:val="en-GB"/>
        </w:rPr>
        <w:t xml:space="preserve">Looked at by priority, </w:t>
      </w:r>
      <w:r w:rsidR="00FB4F69" w:rsidRPr="00D31979">
        <w:rPr>
          <w:lang w:val="en-GB"/>
        </w:rPr>
        <w:t xml:space="preserve">fund </w:t>
      </w:r>
      <w:r w:rsidRPr="00D31979">
        <w:rPr>
          <w:lang w:val="en-GB"/>
        </w:rPr>
        <w:t xml:space="preserve">expenditure </w:t>
      </w:r>
      <w:r w:rsidR="00FB4F69" w:rsidRPr="00D31979">
        <w:rPr>
          <w:lang w:val="en-GB"/>
        </w:rPr>
        <w:t xml:space="preserve">in the 2004-2006 planning period </w:t>
      </w:r>
      <w:r w:rsidRPr="00D31979">
        <w:rPr>
          <w:lang w:val="en-GB"/>
        </w:rPr>
        <w:t>was greatest</w:t>
      </w:r>
      <w:r w:rsidR="006D7944" w:rsidRPr="00D31979">
        <w:rPr>
          <w:lang w:val="en-GB"/>
        </w:rPr>
        <w:t xml:space="preserve"> on investment</w:t>
      </w:r>
      <w:r w:rsidR="00165B18">
        <w:rPr>
          <w:lang w:val="en-GB"/>
        </w:rPr>
        <w:t>s</w:t>
      </w:r>
      <w:r w:rsidR="00F2256E" w:rsidRPr="00D31979">
        <w:rPr>
          <w:lang w:val="en-GB"/>
        </w:rPr>
        <w:t xml:space="preserve"> that aimed at p</w:t>
      </w:r>
      <w:r w:rsidRPr="00D31979">
        <w:rPr>
          <w:lang w:val="en-GB"/>
        </w:rPr>
        <w:t xml:space="preserve">romoting </w:t>
      </w:r>
      <w:r w:rsidR="00AD4FA3" w:rsidRPr="00D31979">
        <w:rPr>
          <w:lang w:val="en-GB"/>
        </w:rPr>
        <w:t>territorial cohesion</w:t>
      </w:r>
      <w:r w:rsidRPr="00D31979">
        <w:rPr>
          <w:lang w:val="en-GB"/>
        </w:rPr>
        <w:t xml:space="preserve">, promoting entrepreneurship and innovations, and promoting agriculture and </w:t>
      </w:r>
      <w:r w:rsidR="00577861" w:rsidRPr="00D31979">
        <w:rPr>
          <w:lang w:val="en-GB"/>
        </w:rPr>
        <w:t>fisheries</w:t>
      </w:r>
      <w:r w:rsidR="00577861">
        <w:rPr>
          <w:lang w:val="en-GB"/>
        </w:rPr>
        <w:t xml:space="preserve">. </w:t>
      </w:r>
      <w:r w:rsidR="00577861" w:rsidRPr="00D31979">
        <w:rPr>
          <w:lang w:val="en-GB"/>
        </w:rPr>
        <w:t>These</w:t>
      </w:r>
      <w:r w:rsidRPr="00D31979">
        <w:rPr>
          <w:lang w:val="en-GB"/>
        </w:rPr>
        <w:t xml:space="preserve"> priorities </w:t>
      </w:r>
      <w:r w:rsidR="00577861" w:rsidRPr="00D31979">
        <w:rPr>
          <w:lang w:val="en-GB"/>
        </w:rPr>
        <w:t>accounte</w:t>
      </w:r>
      <w:r w:rsidR="00577861">
        <w:rPr>
          <w:lang w:val="en-GB"/>
        </w:rPr>
        <w:t>d</w:t>
      </w:r>
      <w:r w:rsidRPr="00D31979">
        <w:rPr>
          <w:lang w:val="en-GB"/>
        </w:rPr>
        <w:t xml:space="preserve"> for more than a third of all fund expenditure over the planning period (see Figure 2.3). In the </w:t>
      </w:r>
      <w:r w:rsidR="00FB4F69" w:rsidRPr="00D31979">
        <w:rPr>
          <w:lang w:val="en-GB"/>
        </w:rPr>
        <w:t xml:space="preserve">2007-2013 </w:t>
      </w:r>
      <w:r w:rsidRPr="00D31979">
        <w:rPr>
          <w:lang w:val="en-GB"/>
        </w:rPr>
        <w:t xml:space="preserve">planning period, </w:t>
      </w:r>
      <w:r w:rsidR="00723367" w:rsidRPr="00D31979">
        <w:rPr>
          <w:lang w:val="en-GB"/>
        </w:rPr>
        <w:t xml:space="preserve">the greatest part of </w:t>
      </w:r>
      <w:r w:rsidR="00FB4F69" w:rsidRPr="00D31979">
        <w:rPr>
          <w:lang w:val="en-GB"/>
        </w:rPr>
        <w:t xml:space="preserve">fund </w:t>
      </w:r>
      <w:r w:rsidR="00723367" w:rsidRPr="00D31979">
        <w:rPr>
          <w:lang w:val="en-GB"/>
        </w:rPr>
        <w:t>investment</w:t>
      </w:r>
      <w:r w:rsidRPr="00D31979">
        <w:rPr>
          <w:lang w:val="en-GB"/>
        </w:rPr>
        <w:t xml:space="preserve"> was geared towards innovations and entrepreneurship, transport, environmental protection and environmental risk reduction, as well as towards promoting human capital, employment, and social integration, with these priorities accounting fo</w:t>
      </w:r>
      <w:r w:rsidR="006D7944" w:rsidRPr="00D31979">
        <w:rPr>
          <w:lang w:val="en-GB"/>
        </w:rPr>
        <w:t>r 80% of all fund investment</w:t>
      </w:r>
      <w:r w:rsidRPr="00D31979">
        <w:rPr>
          <w:lang w:val="en-GB"/>
        </w:rPr>
        <w:t xml:space="preserve"> in the </w:t>
      </w:r>
      <w:r w:rsidR="00FB4F69" w:rsidRPr="00D31979">
        <w:rPr>
          <w:lang w:val="en-GB"/>
        </w:rPr>
        <w:t xml:space="preserve">2007-2013 </w:t>
      </w:r>
      <w:r w:rsidRPr="00D31979">
        <w:rPr>
          <w:lang w:val="en-GB"/>
        </w:rPr>
        <w:t>planning period.</w:t>
      </w:r>
      <w:r w:rsidR="005659A7" w:rsidRPr="00D31979">
        <w:rPr>
          <w:lang w:val="en-GB"/>
        </w:rPr>
        <w:t xml:space="preserve"> </w:t>
      </w:r>
    </w:p>
    <w:p w:rsidR="00746F4E" w:rsidRPr="00D31979" w:rsidRDefault="00613E71" w:rsidP="00A2106B">
      <w:pPr>
        <w:keepNext/>
        <w:keepLines/>
        <w:rPr>
          <w:b/>
          <w:lang w:val="en-GB"/>
        </w:rPr>
      </w:pPr>
      <w:r w:rsidRPr="00D31979">
        <w:rPr>
          <w:b/>
          <w:lang w:val="en-GB"/>
        </w:rPr>
        <w:lastRenderedPageBreak/>
        <w:t xml:space="preserve">Figure </w:t>
      </w:r>
      <w:r w:rsidR="00377454" w:rsidRPr="00D31979">
        <w:rPr>
          <w:b/>
          <w:lang w:val="en-GB"/>
        </w:rPr>
        <w:t>2.</w:t>
      </w:r>
      <w:r w:rsidR="00714308" w:rsidRPr="00D31979">
        <w:rPr>
          <w:b/>
          <w:lang w:val="en-GB"/>
        </w:rPr>
        <w:t>3</w:t>
      </w:r>
      <w:r w:rsidR="00A7665C" w:rsidRPr="00D31979">
        <w:rPr>
          <w:b/>
          <w:lang w:val="en-GB"/>
        </w:rPr>
        <w:t xml:space="preserve">: </w:t>
      </w:r>
      <w:r w:rsidR="00B21EEA">
        <w:rPr>
          <w:b/>
          <w:lang w:val="en-GB"/>
        </w:rPr>
        <w:t>F</w:t>
      </w:r>
      <w:r w:rsidRPr="00D31979">
        <w:rPr>
          <w:b/>
          <w:lang w:val="en-GB"/>
        </w:rPr>
        <w:t xml:space="preserve">und expenditure by priority in </w:t>
      </w:r>
      <w:r w:rsidR="00FB4F69" w:rsidRPr="00D31979">
        <w:rPr>
          <w:b/>
          <w:lang w:val="en-GB"/>
        </w:rPr>
        <w:t xml:space="preserve">2004-2006 and 2007-2013 </w:t>
      </w:r>
      <w:r w:rsidRPr="00D31979">
        <w:rPr>
          <w:b/>
          <w:lang w:val="en-GB"/>
        </w:rPr>
        <w:t>planning period</w:t>
      </w:r>
      <w:r w:rsidR="00A7665C" w:rsidRPr="00D31979">
        <w:rPr>
          <w:b/>
          <w:lang w:val="en-GB"/>
        </w:rPr>
        <w:t xml:space="preserve">, % </w:t>
      </w:r>
      <w:r w:rsidRPr="00D31979">
        <w:rPr>
          <w:b/>
          <w:lang w:val="en-GB"/>
        </w:rPr>
        <w:t>of total fund expenditure in the respective period</w:t>
      </w:r>
      <w:r w:rsidR="00D80535" w:rsidRPr="00D31979">
        <w:rPr>
          <w:b/>
          <w:lang w:val="en-GB"/>
        </w:rPr>
        <w:t>*</w:t>
      </w:r>
    </w:p>
    <w:tbl>
      <w:tblPr>
        <w:tblStyle w:val="TableGrid"/>
        <w:tblW w:w="10620" w:type="dxa"/>
        <w:tblInd w:w="-612" w:type="dxa"/>
        <w:tblLook w:val="04A0" w:firstRow="1" w:lastRow="0" w:firstColumn="1" w:lastColumn="0" w:noHBand="0" w:noVBand="1"/>
      </w:tblPr>
      <w:tblGrid>
        <w:gridCol w:w="5184"/>
        <w:gridCol w:w="5436"/>
      </w:tblGrid>
      <w:tr w:rsidR="00746F4E" w:rsidRPr="00D31979" w:rsidTr="00A7665C">
        <w:tc>
          <w:tcPr>
            <w:tcW w:w="5321" w:type="dxa"/>
            <w:tcBorders>
              <w:top w:val="nil"/>
              <w:left w:val="nil"/>
              <w:bottom w:val="nil"/>
              <w:right w:val="nil"/>
            </w:tcBorders>
          </w:tcPr>
          <w:p w:rsidR="00746F4E" w:rsidRPr="00D31979" w:rsidRDefault="00FB4F69" w:rsidP="00A2106B">
            <w:pPr>
              <w:keepNext/>
              <w:keepLines/>
              <w:jc w:val="center"/>
              <w:rPr>
                <w:i/>
                <w:lang w:val="en-GB"/>
              </w:rPr>
            </w:pPr>
            <w:r w:rsidRPr="00D31979">
              <w:rPr>
                <w:i/>
                <w:lang w:val="en-GB"/>
              </w:rPr>
              <w:t>2004-2006</w:t>
            </w:r>
            <w:r w:rsidR="00321C58" w:rsidRPr="00D31979">
              <w:rPr>
                <w:i/>
                <w:lang w:val="en-GB"/>
              </w:rPr>
              <w:t xml:space="preserve"> planning period</w:t>
            </w:r>
            <w:r w:rsidR="00B21EEA">
              <w:rPr>
                <w:i/>
                <w:lang w:val="en-GB"/>
              </w:rPr>
              <w:t>**</w:t>
            </w:r>
          </w:p>
        </w:tc>
        <w:tc>
          <w:tcPr>
            <w:tcW w:w="5299" w:type="dxa"/>
            <w:tcBorders>
              <w:top w:val="nil"/>
              <w:left w:val="nil"/>
              <w:bottom w:val="nil"/>
              <w:right w:val="nil"/>
            </w:tcBorders>
          </w:tcPr>
          <w:p w:rsidR="00746F4E" w:rsidRPr="00D31979" w:rsidRDefault="00FB4F69" w:rsidP="00A2106B">
            <w:pPr>
              <w:keepNext/>
              <w:keepLines/>
              <w:jc w:val="center"/>
              <w:rPr>
                <w:i/>
                <w:lang w:val="en-GB"/>
              </w:rPr>
            </w:pPr>
            <w:r w:rsidRPr="00D31979">
              <w:rPr>
                <w:i/>
                <w:lang w:val="en-GB"/>
              </w:rPr>
              <w:t>2007-2013</w:t>
            </w:r>
            <w:r w:rsidR="00321C58" w:rsidRPr="00D31979">
              <w:rPr>
                <w:i/>
                <w:lang w:val="en-GB"/>
              </w:rPr>
              <w:t xml:space="preserve"> planning period</w:t>
            </w:r>
            <w:r w:rsidR="00B21EEA">
              <w:rPr>
                <w:i/>
                <w:lang w:val="en-GB"/>
              </w:rPr>
              <w:t>***</w:t>
            </w:r>
          </w:p>
        </w:tc>
      </w:tr>
      <w:tr w:rsidR="00746F4E" w:rsidRPr="00D31979" w:rsidTr="00A7665C">
        <w:tc>
          <w:tcPr>
            <w:tcW w:w="5321" w:type="dxa"/>
            <w:tcBorders>
              <w:top w:val="nil"/>
              <w:left w:val="nil"/>
              <w:bottom w:val="nil"/>
              <w:right w:val="nil"/>
            </w:tcBorders>
          </w:tcPr>
          <w:p w:rsidR="00746F4E" w:rsidRPr="00D31979" w:rsidRDefault="00481F52" w:rsidP="00A2106B">
            <w:pPr>
              <w:keepNext/>
              <w:keepLines/>
              <w:rPr>
                <w:lang w:val="en-GB"/>
              </w:rPr>
            </w:pPr>
            <w:r>
              <w:rPr>
                <w:noProof/>
                <w:lang w:val="lv-LV" w:eastAsia="lv-LV"/>
              </w:rPr>
              <w:drawing>
                <wp:inline distT="0" distB="0" distL="0" distR="0" wp14:anchorId="7F48210A" wp14:editId="0D286FCD">
                  <wp:extent cx="3145536" cy="18928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5536" cy="1892808"/>
                          </a:xfrm>
                          <a:prstGeom prst="rect">
                            <a:avLst/>
                          </a:prstGeom>
                          <a:noFill/>
                        </pic:spPr>
                      </pic:pic>
                    </a:graphicData>
                  </a:graphic>
                </wp:inline>
              </w:drawing>
            </w:r>
          </w:p>
        </w:tc>
        <w:tc>
          <w:tcPr>
            <w:tcW w:w="5299" w:type="dxa"/>
            <w:tcBorders>
              <w:top w:val="nil"/>
              <w:left w:val="nil"/>
              <w:bottom w:val="nil"/>
              <w:right w:val="nil"/>
            </w:tcBorders>
          </w:tcPr>
          <w:p w:rsidR="00746F4E" w:rsidRPr="00D31979" w:rsidRDefault="0055481A" w:rsidP="00A2106B">
            <w:pPr>
              <w:keepNext/>
              <w:keepLines/>
              <w:rPr>
                <w:lang w:val="en-GB"/>
              </w:rPr>
            </w:pPr>
            <w:r>
              <w:rPr>
                <w:noProof/>
                <w:lang w:val="lv-LV" w:eastAsia="lv-LV"/>
              </w:rPr>
              <w:drawing>
                <wp:inline distT="0" distB="0" distL="0" distR="0" wp14:anchorId="1781FCB3">
                  <wp:extent cx="3310128" cy="2039112"/>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0128" cy="2039112"/>
                          </a:xfrm>
                          <a:prstGeom prst="rect">
                            <a:avLst/>
                          </a:prstGeom>
                          <a:noFill/>
                        </pic:spPr>
                      </pic:pic>
                    </a:graphicData>
                  </a:graphic>
                </wp:inline>
              </w:drawing>
            </w:r>
          </w:p>
        </w:tc>
      </w:tr>
    </w:tbl>
    <w:p w:rsidR="00B21EEA" w:rsidRDefault="00B21EEA" w:rsidP="00A2106B">
      <w:pPr>
        <w:keepNext/>
        <w:spacing w:after="0"/>
        <w:rPr>
          <w:i/>
          <w:lang w:val="en-GB"/>
        </w:rPr>
      </w:pPr>
      <w:r w:rsidRPr="00D31979">
        <w:rPr>
          <w:i/>
          <w:lang w:val="en-GB"/>
        </w:rPr>
        <w:t xml:space="preserve">* </w:t>
      </w:r>
      <w:r>
        <w:rPr>
          <w:i/>
          <w:lang w:val="en-GB"/>
        </w:rPr>
        <w:t xml:space="preserve">All analysed financial instruments are included. </w:t>
      </w:r>
      <w:r w:rsidRPr="00D31979">
        <w:rPr>
          <w:i/>
          <w:lang w:val="en-GB"/>
        </w:rPr>
        <w:t xml:space="preserve">Includes </w:t>
      </w:r>
      <w:r>
        <w:rPr>
          <w:i/>
          <w:lang w:val="en-GB"/>
        </w:rPr>
        <w:t xml:space="preserve">fund </w:t>
      </w:r>
      <w:r w:rsidRPr="00D31979">
        <w:rPr>
          <w:i/>
          <w:lang w:val="en-GB"/>
        </w:rPr>
        <w:t>financing, public and private co-financing</w:t>
      </w:r>
      <w:r>
        <w:rPr>
          <w:i/>
          <w:lang w:val="en-GB"/>
        </w:rPr>
        <w:t>.</w:t>
      </w:r>
    </w:p>
    <w:p w:rsidR="00A2106B" w:rsidRDefault="00A2106B" w:rsidP="00A2106B">
      <w:pPr>
        <w:keepNext/>
        <w:spacing w:after="0"/>
        <w:rPr>
          <w:i/>
          <w:lang w:val="en-GB"/>
        </w:rPr>
      </w:pPr>
      <w:r>
        <w:rPr>
          <w:i/>
          <w:lang w:val="en-GB"/>
        </w:rPr>
        <w:t>** Other funds include technical assistance and INTERREG</w:t>
      </w:r>
    </w:p>
    <w:p w:rsidR="00A2106B" w:rsidRPr="00D31979" w:rsidRDefault="00A2106B" w:rsidP="00A2106B">
      <w:pPr>
        <w:keepNext/>
        <w:spacing w:after="0"/>
        <w:rPr>
          <w:i/>
          <w:lang w:val="en-GB"/>
        </w:rPr>
      </w:pPr>
      <w:r>
        <w:rPr>
          <w:i/>
          <w:lang w:val="en-GB"/>
        </w:rPr>
        <w:t>*** Other funds include o</w:t>
      </w:r>
      <w:r w:rsidRPr="00A2106B">
        <w:rPr>
          <w:i/>
          <w:lang w:val="en-GB"/>
        </w:rPr>
        <w:t>bjective 3 “Territorial Cooperation” of the EU Cohesion Policy, Norwegian Bilateral Financial Instrument and Swiss-Latvian cooperation programme</w:t>
      </w:r>
      <w:r>
        <w:rPr>
          <w:i/>
          <w:lang w:val="en-GB"/>
        </w:rPr>
        <w:t>.</w:t>
      </w:r>
    </w:p>
    <w:p w:rsidR="00A7665C" w:rsidRPr="00D31979" w:rsidRDefault="005C675A" w:rsidP="00A7665C">
      <w:pPr>
        <w:rPr>
          <w:i/>
          <w:lang w:val="en-GB"/>
        </w:rPr>
      </w:pPr>
      <w:r w:rsidRPr="00D31979">
        <w:rPr>
          <w:i/>
          <w:lang w:val="en-GB"/>
        </w:rPr>
        <w:t>Source: authors’ calculations</w:t>
      </w:r>
    </w:p>
    <w:p w:rsidR="00CC3C13" w:rsidRPr="00D31979" w:rsidRDefault="00186E7D" w:rsidP="00175481">
      <w:pPr>
        <w:pStyle w:val="Heading2"/>
        <w:rPr>
          <w:lang w:val="en-GB"/>
        </w:rPr>
      </w:pPr>
      <w:bookmarkStart w:id="7" w:name="_Toc312172605"/>
      <w:r w:rsidRPr="00D31979">
        <w:rPr>
          <w:lang w:val="en-GB"/>
        </w:rPr>
        <w:t>Methodology for modelling the impact of funds</w:t>
      </w:r>
      <w:bookmarkEnd w:id="7"/>
    </w:p>
    <w:p w:rsidR="00746F4E" w:rsidRPr="00D31979" w:rsidRDefault="00FE363D" w:rsidP="00FC6076">
      <w:pPr>
        <w:rPr>
          <w:lang w:val="en-GB"/>
        </w:rPr>
      </w:pPr>
      <w:r w:rsidRPr="00D31979">
        <w:rPr>
          <w:lang w:val="en-GB"/>
        </w:rPr>
        <w:t>The model allows us to analyse both the demand-side effect created by funds, which arises in th</w:t>
      </w:r>
      <w:r w:rsidR="006D7944" w:rsidRPr="00D31979">
        <w:rPr>
          <w:lang w:val="en-GB"/>
        </w:rPr>
        <w:t>e short term as</w:t>
      </w:r>
      <w:r w:rsidR="0034783C" w:rsidRPr="00D31979">
        <w:rPr>
          <w:lang w:val="en-GB"/>
        </w:rPr>
        <w:t xml:space="preserve"> </w:t>
      </w:r>
      <w:r w:rsidR="006D7944" w:rsidRPr="00D31979">
        <w:rPr>
          <w:lang w:val="en-GB"/>
        </w:rPr>
        <w:t>fund investment</w:t>
      </w:r>
      <w:r w:rsidRPr="00D31979">
        <w:rPr>
          <w:lang w:val="en-GB"/>
        </w:rPr>
        <w:t xml:space="preserve"> flow</w:t>
      </w:r>
      <w:r w:rsidR="006D7944" w:rsidRPr="00D31979">
        <w:rPr>
          <w:lang w:val="en-GB"/>
        </w:rPr>
        <w:t>s</w:t>
      </w:r>
      <w:r w:rsidRPr="00D31979">
        <w:rPr>
          <w:lang w:val="en-GB"/>
        </w:rPr>
        <w:t xml:space="preserve"> into the economy, and the supply-side effect, which manifests itself over a lo</w:t>
      </w:r>
      <w:r w:rsidR="006D7944" w:rsidRPr="00D31979">
        <w:rPr>
          <w:lang w:val="en-GB"/>
        </w:rPr>
        <w:t>nger period, as fund investment</w:t>
      </w:r>
      <w:r w:rsidRPr="00D31979">
        <w:rPr>
          <w:lang w:val="en-GB"/>
        </w:rPr>
        <w:t xml:space="preserve"> increase</w:t>
      </w:r>
      <w:r w:rsidR="006D7944" w:rsidRPr="00D31979">
        <w:rPr>
          <w:lang w:val="en-GB"/>
        </w:rPr>
        <w:t>s</w:t>
      </w:r>
      <w:r w:rsidRPr="00D31979">
        <w:rPr>
          <w:lang w:val="en-GB"/>
        </w:rPr>
        <w:t xml:space="preserve"> the productive capacity of the economy. For modelling the effect of funds, we use a methodology similar to that of Bradley et al</w:t>
      </w:r>
      <w:r w:rsidR="006D7944" w:rsidRPr="00D31979">
        <w:rPr>
          <w:lang w:val="en-GB"/>
        </w:rPr>
        <w:t>.</w:t>
      </w:r>
      <w:r w:rsidRPr="00D31979">
        <w:rPr>
          <w:lang w:val="en-GB"/>
        </w:rPr>
        <w:t xml:space="preserve"> (2000) and BICEPS (2008a)</w:t>
      </w:r>
      <w:r w:rsidR="009664B7" w:rsidRPr="00D31979">
        <w:rPr>
          <w:lang w:val="en-GB"/>
        </w:rPr>
        <w:t>.</w:t>
      </w:r>
    </w:p>
    <w:p w:rsidR="009664B7" w:rsidRPr="00D31979" w:rsidRDefault="00011FF4" w:rsidP="00FC6076">
      <w:pPr>
        <w:rPr>
          <w:b/>
          <w:color w:val="365F91" w:themeColor="accent1" w:themeShade="BF"/>
          <w:lang w:val="en-GB"/>
        </w:rPr>
      </w:pPr>
      <w:r w:rsidRPr="00D31979">
        <w:rPr>
          <w:b/>
          <w:color w:val="365F91" w:themeColor="accent1" w:themeShade="BF"/>
          <w:lang w:val="en-GB"/>
        </w:rPr>
        <w:t>Supply-side effects</w:t>
      </w:r>
    </w:p>
    <w:p w:rsidR="00B42080" w:rsidRPr="00D31979" w:rsidRDefault="00B42080" w:rsidP="00FC6076">
      <w:pPr>
        <w:rPr>
          <w:lang w:val="en-GB"/>
        </w:rPr>
      </w:pPr>
      <w:r w:rsidRPr="00D31979">
        <w:rPr>
          <w:lang w:val="en-GB"/>
        </w:rPr>
        <w:t xml:space="preserve">We assume that fund investment </w:t>
      </w:r>
      <w:r w:rsidR="006D7944" w:rsidRPr="00D31979">
        <w:rPr>
          <w:lang w:val="en-GB"/>
        </w:rPr>
        <w:t>increases</w:t>
      </w:r>
      <w:r w:rsidRPr="00D31979">
        <w:rPr>
          <w:lang w:val="en-GB"/>
        </w:rPr>
        <w:t xml:space="preserve"> the</w:t>
      </w:r>
      <w:r w:rsidR="006D7944" w:rsidRPr="00D31979">
        <w:rPr>
          <w:lang w:val="en-GB"/>
        </w:rPr>
        <w:t xml:space="preserve"> stock of</w:t>
      </w:r>
      <w:r w:rsidRPr="00D31979">
        <w:rPr>
          <w:lang w:val="en-GB"/>
        </w:rPr>
        <w:t xml:space="preserve"> accumulated capital in the economy: A-type expenditure promotes infrastructure development; F-type expenditure promotes the development of technology; K-type expenditure increases accumulated fixed capital; finally, L-type expenditure increases accumulated human capital. To evaluate the impact of accumulated capital on productive potential, it is necessary to make assumptions about the levels of accumulated capital that would prevail in the absence of fund investment. With regard to infrastructure and technology, we assume that in a scenario without fund inflows infrastructure and technology capital is formed ou</w:t>
      </w:r>
      <w:r w:rsidR="00723367" w:rsidRPr="00D31979">
        <w:rPr>
          <w:lang w:val="en-GB"/>
        </w:rPr>
        <w:t>t of public sector investment</w:t>
      </w:r>
      <w:r w:rsidRPr="00D31979">
        <w:rPr>
          <w:lang w:val="en-GB"/>
        </w:rPr>
        <w:t>. Accumulated fixed capital in each sector evolves out of the investment made in that sector. Human capital is equal to the number of people with at least secondary education.</w:t>
      </w:r>
    </w:p>
    <w:p w:rsidR="00DC1A40" w:rsidRPr="00D31979" w:rsidRDefault="00DC1A40" w:rsidP="00FC6076">
      <w:pPr>
        <w:rPr>
          <w:lang w:val="en-GB"/>
        </w:rPr>
      </w:pPr>
      <w:r w:rsidRPr="00D31979">
        <w:rPr>
          <w:lang w:val="en-GB"/>
        </w:rPr>
        <w:t xml:space="preserve">As funds flow into the economy, A and F type expenditure increases accumulated infrastructural and technological capital. We assume that the additional infrastructure and technology formed in each sector are not specific to that sector and can be </w:t>
      </w:r>
      <w:r w:rsidR="00912A65" w:rsidRPr="00D31979">
        <w:rPr>
          <w:lang w:val="en-GB"/>
        </w:rPr>
        <w:t>equally</w:t>
      </w:r>
      <w:r w:rsidRPr="00D31979">
        <w:rPr>
          <w:lang w:val="en-GB"/>
        </w:rPr>
        <w:t xml:space="preserve"> used in all sectors of the economy. For example, the construction of new roads is classified in the </w:t>
      </w:r>
      <w:r w:rsidRPr="00D31979">
        <w:rPr>
          <w:lang w:val="en-GB"/>
        </w:rPr>
        <w:lastRenderedPageBreak/>
        <w:t xml:space="preserve">database as A-type expenditures in the construction sector. Thus, funds </w:t>
      </w:r>
      <w:r w:rsidR="009E4C82">
        <w:rPr>
          <w:lang w:val="en-GB"/>
        </w:rPr>
        <w:t xml:space="preserve">represent output of </w:t>
      </w:r>
      <w:r w:rsidRPr="00D31979">
        <w:rPr>
          <w:lang w:val="en-GB"/>
        </w:rPr>
        <w:t xml:space="preserve">infrastructure </w:t>
      </w:r>
      <w:r w:rsidR="00577861">
        <w:rPr>
          <w:lang w:val="en-GB"/>
        </w:rPr>
        <w:t>by</w:t>
      </w:r>
      <w:r w:rsidRPr="00D31979">
        <w:rPr>
          <w:lang w:val="en-GB"/>
        </w:rPr>
        <w:t xml:space="preserve"> construction sector, but we assume that this additional infrastructure </w:t>
      </w:r>
      <w:r w:rsidR="009E4C82">
        <w:rPr>
          <w:lang w:val="en-GB"/>
        </w:rPr>
        <w:t xml:space="preserve">is </w:t>
      </w:r>
      <w:r w:rsidR="00577861">
        <w:rPr>
          <w:lang w:val="en-GB"/>
        </w:rPr>
        <w:t>available for</w:t>
      </w:r>
      <w:r w:rsidR="009E4C82">
        <w:rPr>
          <w:lang w:val="en-GB"/>
        </w:rPr>
        <w:t xml:space="preserve"> use </w:t>
      </w:r>
      <w:r w:rsidRPr="00D31979">
        <w:rPr>
          <w:lang w:val="en-GB"/>
        </w:rPr>
        <w:t>by all sectors. We use a similar approach when modelling the accumulation of technological capital.</w:t>
      </w:r>
    </w:p>
    <w:p w:rsidR="00393D43" w:rsidRPr="00D31979" w:rsidRDefault="004A67A9" w:rsidP="00FC6076">
      <w:pPr>
        <w:rPr>
          <w:lang w:val="en-GB"/>
        </w:rPr>
      </w:pPr>
      <w:r w:rsidRPr="00D31979">
        <w:rPr>
          <w:lang w:val="en-GB"/>
        </w:rPr>
        <w:t>The accumulation of fixed capital in each sector takes place separ</w:t>
      </w:r>
      <w:r w:rsidR="00393D43" w:rsidRPr="00D31979">
        <w:rPr>
          <w:lang w:val="en-GB"/>
        </w:rPr>
        <w:t xml:space="preserve">ately: for example, </w:t>
      </w:r>
      <w:r w:rsidR="006D7944" w:rsidRPr="00D31979">
        <w:rPr>
          <w:lang w:val="en-GB"/>
        </w:rPr>
        <w:t xml:space="preserve">a </w:t>
      </w:r>
      <w:r w:rsidR="00393D43" w:rsidRPr="00D31979">
        <w:rPr>
          <w:lang w:val="en-GB"/>
        </w:rPr>
        <w:t>fund-financed purchase of production equipment in industry would only increase fixed capital in industry. In other</w:t>
      </w:r>
      <w:r w:rsidR="006D7944" w:rsidRPr="00D31979">
        <w:rPr>
          <w:lang w:val="en-GB"/>
        </w:rPr>
        <w:t xml:space="preserve"> words, K-type fund expenditures</w:t>
      </w:r>
      <w:r w:rsidR="00393D43" w:rsidRPr="00D31979">
        <w:rPr>
          <w:lang w:val="en-GB"/>
        </w:rPr>
        <w:t xml:space="preserve"> only increase productive potential in the sector in which they are made.</w:t>
      </w:r>
    </w:p>
    <w:p w:rsidR="00410570" w:rsidRPr="00D31979" w:rsidRDefault="00393D43" w:rsidP="00FC6076">
      <w:pPr>
        <w:rPr>
          <w:lang w:val="en-GB"/>
        </w:rPr>
      </w:pPr>
      <w:r w:rsidRPr="00D31979">
        <w:rPr>
          <w:lang w:val="en-GB"/>
        </w:rPr>
        <w:t xml:space="preserve">The accumulation of human capital takes </w:t>
      </w:r>
      <w:r w:rsidR="002B25F6">
        <w:rPr>
          <w:lang w:val="en-GB"/>
        </w:rPr>
        <w:t xml:space="preserve">the form </w:t>
      </w:r>
      <w:r w:rsidR="00577861">
        <w:rPr>
          <w:lang w:val="en-GB"/>
        </w:rPr>
        <w:t xml:space="preserve">of </w:t>
      </w:r>
      <w:r w:rsidR="00577861" w:rsidRPr="00D31979">
        <w:rPr>
          <w:lang w:val="en-GB"/>
        </w:rPr>
        <w:t>L</w:t>
      </w:r>
      <w:r w:rsidRPr="00D31979">
        <w:rPr>
          <w:lang w:val="en-GB"/>
        </w:rPr>
        <w:t xml:space="preserve">-type expenditures </w:t>
      </w:r>
      <w:r w:rsidR="002B25F6">
        <w:rPr>
          <w:lang w:val="en-GB"/>
        </w:rPr>
        <w:t xml:space="preserve">that </w:t>
      </w:r>
      <w:r w:rsidRPr="00D31979">
        <w:rPr>
          <w:lang w:val="en-GB"/>
        </w:rPr>
        <w:t>are (by assumption)</w:t>
      </w:r>
      <w:r w:rsidR="0043185D" w:rsidRPr="00D31979">
        <w:rPr>
          <w:lang w:val="en-GB"/>
        </w:rPr>
        <w:t xml:space="preserve"> </w:t>
      </w:r>
      <w:r w:rsidR="0018359B" w:rsidRPr="00D31979">
        <w:rPr>
          <w:lang w:val="en-GB"/>
        </w:rPr>
        <w:t>channelled</w:t>
      </w:r>
      <w:r w:rsidR="0043185D" w:rsidRPr="00D31979">
        <w:rPr>
          <w:lang w:val="en-GB"/>
        </w:rPr>
        <w:t xml:space="preserve"> into human training. </w:t>
      </w:r>
      <w:r w:rsidR="002B25F6">
        <w:rPr>
          <w:lang w:val="en-GB"/>
        </w:rPr>
        <w:t>Thus w</w:t>
      </w:r>
      <w:r w:rsidR="0043185D" w:rsidRPr="00D31979">
        <w:rPr>
          <w:lang w:val="en-GB"/>
        </w:rPr>
        <w:t xml:space="preserve">e assume that funds are used to pay for the work of </w:t>
      </w:r>
      <w:r w:rsidR="002B25F6">
        <w:rPr>
          <w:lang w:val="en-GB"/>
        </w:rPr>
        <w:t xml:space="preserve">trainers or </w:t>
      </w:r>
      <w:r w:rsidR="0043185D" w:rsidRPr="00D31979">
        <w:rPr>
          <w:lang w:val="en-GB"/>
        </w:rPr>
        <w:t xml:space="preserve">lecturers and that each lecturer can train 3 people every year (a similar approach to modelling L-type expenditures </w:t>
      </w:r>
      <w:r w:rsidR="00912A65" w:rsidRPr="00D31979">
        <w:rPr>
          <w:lang w:val="en-GB"/>
        </w:rPr>
        <w:t xml:space="preserve">was used by Bradley et. </w:t>
      </w:r>
      <w:r w:rsidR="002B25F6">
        <w:rPr>
          <w:lang w:val="en-GB"/>
        </w:rPr>
        <w:t>al.</w:t>
      </w:r>
      <w:r w:rsidR="00912A65" w:rsidRPr="00D31979">
        <w:rPr>
          <w:lang w:val="en-GB"/>
        </w:rPr>
        <w:t xml:space="preserve"> (2000</w:t>
      </w:r>
      <w:r w:rsidR="0043185D" w:rsidRPr="00D31979">
        <w:rPr>
          <w:lang w:val="en-GB"/>
        </w:rPr>
        <w:t>) and BICEPS (2008a)). These trained individuals increase the total stock of human capital, increasing labour force productivity and thus increasing the productive capacity of the economy relative to a scenario without funds.</w:t>
      </w:r>
    </w:p>
    <w:p w:rsidR="00253481" w:rsidRPr="00D31979" w:rsidRDefault="00B47745" w:rsidP="006234DE">
      <w:pPr>
        <w:rPr>
          <w:lang w:val="en-GB"/>
        </w:rPr>
      </w:pPr>
      <w:r w:rsidRPr="00D31979">
        <w:rPr>
          <w:lang w:val="en-GB"/>
        </w:rPr>
        <w:t xml:space="preserve">An increase in the accumulated infrastructure, technology, fixed capital and human capital affects </w:t>
      </w:r>
      <w:r w:rsidR="00577861" w:rsidRPr="00D31979">
        <w:rPr>
          <w:lang w:val="en-GB"/>
        </w:rPr>
        <w:t>the production</w:t>
      </w:r>
      <w:r w:rsidRPr="00D31979">
        <w:rPr>
          <w:lang w:val="en-GB"/>
        </w:rPr>
        <w:t xml:space="preserve"> function</w:t>
      </w:r>
      <w:r w:rsidR="002B25F6">
        <w:rPr>
          <w:lang w:val="en-GB"/>
        </w:rPr>
        <w:t xml:space="preserve"> in a given sector</w:t>
      </w:r>
      <w:r w:rsidRPr="00D31979">
        <w:rPr>
          <w:lang w:val="en-GB"/>
        </w:rPr>
        <w:t>. If the accumulated infrastructure, technology, fixed capital</w:t>
      </w:r>
      <w:r w:rsidR="006D7944" w:rsidRPr="00D31979">
        <w:rPr>
          <w:lang w:val="en-GB"/>
        </w:rPr>
        <w:t>,</w:t>
      </w:r>
      <w:r w:rsidRPr="00D31979">
        <w:rPr>
          <w:lang w:val="en-GB"/>
        </w:rPr>
        <w:t xml:space="preserve"> and human capital in sector </w:t>
      </w:r>
      <w:r w:rsidRPr="00D31979">
        <w:rPr>
          <w:i/>
          <w:lang w:val="en-GB"/>
        </w:rPr>
        <w:t>i</w:t>
      </w:r>
      <w:r w:rsidRPr="00D31979">
        <w:rPr>
          <w:lang w:val="en-GB"/>
        </w:rPr>
        <w:t xml:space="preserve"> were </w:t>
      </w:r>
      <w:r w:rsidR="00175F14" w:rsidRPr="00D31979">
        <w:rPr>
          <w:position w:val="-12"/>
          <w:lang w:val="en-GB"/>
        </w:rPr>
        <w:object w:dxaOrig="4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1pt" o:ole="">
            <v:imagedata r:id="rId14" o:title=""/>
          </v:shape>
          <o:OLEObject Type="Embed" ProgID="Equation.3" ShapeID="_x0000_i1025" DrawAspect="Content" ObjectID="_1387177416" r:id="rId15"/>
        </w:object>
      </w:r>
      <w:r w:rsidR="00175F14" w:rsidRPr="00D31979">
        <w:rPr>
          <w:lang w:val="en-GB"/>
        </w:rPr>
        <w:t xml:space="preserve">, </w:t>
      </w:r>
      <w:r w:rsidR="00175F14" w:rsidRPr="00D31979">
        <w:rPr>
          <w:position w:val="-12"/>
          <w:lang w:val="en-GB"/>
        </w:rPr>
        <w:object w:dxaOrig="520" w:dyaOrig="380">
          <v:shape id="_x0000_i1026" type="#_x0000_t75" style="width:25.5pt;height:21pt" o:ole="">
            <v:imagedata r:id="rId16" o:title=""/>
          </v:shape>
          <o:OLEObject Type="Embed" ProgID="Equation.3" ShapeID="_x0000_i1026" DrawAspect="Content" ObjectID="_1387177417" r:id="rId17"/>
        </w:object>
      </w:r>
      <w:r w:rsidR="00175F14" w:rsidRPr="00D31979">
        <w:rPr>
          <w:lang w:val="en-GB"/>
        </w:rPr>
        <w:t xml:space="preserve">, </w:t>
      </w:r>
      <w:r w:rsidR="00175F14" w:rsidRPr="00D31979">
        <w:rPr>
          <w:position w:val="-12"/>
          <w:lang w:val="en-GB"/>
        </w:rPr>
        <w:object w:dxaOrig="540" w:dyaOrig="380">
          <v:shape id="_x0000_i1027" type="#_x0000_t75" style="width:27pt;height:21pt" o:ole="">
            <v:imagedata r:id="rId18" o:title=""/>
          </v:shape>
          <o:OLEObject Type="Embed" ProgID="Equation.3" ShapeID="_x0000_i1027" DrawAspect="Content" ObjectID="_1387177418" r:id="rId19"/>
        </w:object>
      </w:r>
      <w:r w:rsidR="006D7944" w:rsidRPr="00D31979">
        <w:rPr>
          <w:lang w:val="en-GB"/>
        </w:rPr>
        <w:t>, and</w:t>
      </w:r>
      <w:r w:rsidR="00175F14" w:rsidRPr="00D31979">
        <w:rPr>
          <w:position w:val="-12"/>
          <w:lang w:val="en-GB"/>
        </w:rPr>
        <w:object w:dxaOrig="460" w:dyaOrig="380">
          <v:shape id="_x0000_i1028" type="#_x0000_t75" style="width:24pt;height:21pt" o:ole="">
            <v:imagedata r:id="rId20" o:title=""/>
          </v:shape>
          <o:OLEObject Type="Embed" ProgID="Equation.3" ShapeID="_x0000_i1028" DrawAspect="Content" ObjectID="_1387177419" r:id="rId21"/>
        </w:object>
      </w:r>
      <w:r w:rsidR="00175F14" w:rsidRPr="00D31979">
        <w:rPr>
          <w:lang w:val="en-GB"/>
        </w:rPr>
        <w:t xml:space="preserve"> </w:t>
      </w:r>
      <w:r w:rsidRPr="00D31979">
        <w:rPr>
          <w:lang w:val="en-GB"/>
        </w:rPr>
        <w:t>in a scen</w:t>
      </w:r>
      <w:r w:rsidR="00723367" w:rsidRPr="00D31979">
        <w:rPr>
          <w:lang w:val="en-GB"/>
        </w:rPr>
        <w:t>ario without fund investment</w:t>
      </w:r>
      <w:r w:rsidRPr="00D31979">
        <w:rPr>
          <w:lang w:val="en-GB"/>
        </w:rPr>
        <w:t xml:space="preserve"> and</w:t>
      </w:r>
      <w:r w:rsidR="00175F14" w:rsidRPr="00D31979">
        <w:rPr>
          <w:lang w:val="en-GB"/>
        </w:rPr>
        <w:t xml:space="preserve"> </w:t>
      </w:r>
      <w:r w:rsidR="00175F14" w:rsidRPr="00D31979">
        <w:rPr>
          <w:position w:val="-12"/>
          <w:lang w:val="en-GB"/>
        </w:rPr>
        <w:object w:dxaOrig="460" w:dyaOrig="380">
          <v:shape id="_x0000_i1029" type="#_x0000_t75" style="width:24pt;height:21pt" o:ole="">
            <v:imagedata r:id="rId22" o:title=""/>
          </v:shape>
          <o:OLEObject Type="Embed" ProgID="Equation.3" ShapeID="_x0000_i1029" DrawAspect="Content" ObjectID="_1387177420" r:id="rId23"/>
        </w:object>
      </w:r>
      <w:r w:rsidR="00175F14" w:rsidRPr="00D31979">
        <w:rPr>
          <w:lang w:val="en-GB"/>
        </w:rPr>
        <w:t xml:space="preserve">, </w:t>
      </w:r>
      <w:r w:rsidR="00E87912" w:rsidRPr="00D31979">
        <w:rPr>
          <w:position w:val="-12"/>
          <w:lang w:val="en-GB"/>
        </w:rPr>
        <w:object w:dxaOrig="480" w:dyaOrig="380">
          <v:shape id="_x0000_i1030" type="#_x0000_t75" style="width:24pt;height:21pt" o:ole="">
            <v:imagedata r:id="rId24" o:title=""/>
          </v:shape>
          <o:OLEObject Type="Embed" ProgID="Equation.3" ShapeID="_x0000_i1030" DrawAspect="Content" ObjectID="_1387177421" r:id="rId25"/>
        </w:object>
      </w:r>
      <w:r w:rsidR="00175F14" w:rsidRPr="00D31979">
        <w:rPr>
          <w:lang w:val="en-GB"/>
        </w:rPr>
        <w:t xml:space="preserve">, </w:t>
      </w:r>
      <w:r w:rsidR="00E87912" w:rsidRPr="00D31979">
        <w:rPr>
          <w:position w:val="-12"/>
          <w:lang w:val="en-GB"/>
        </w:rPr>
        <w:object w:dxaOrig="499" w:dyaOrig="380">
          <v:shape id="_x0000_i1031" type="#_x0000_t75" style="width:25.5pt;height:21pt" o:ole="">
            <v:imagedata r:id="rId26" o:title=""/>
          </v:shape>
          <o:OLEObject Type="Embed" ProgID="Equation.3" ShapeID="_x0000_i1031" DrawAspect="Content" ObjectID="_1387177422" r:id="rId27"/>
        </w:object>
      </w:r>
      <w:r w:rsidR="00175F14" w:rsidRPr="00D31979">
        <w:rPr>
          <w:lang w:val="en-GB"/>
        </w:rPr>
        <w:t xml:space="preserve"> </w:t>
      </w:r>
      <w:r w:rsidR="006D7944" w:rsidRPr="00D31979">
        <w:rPr>
          <w:lang w:val="en-GB"/>
        </w:rPr>
        <w:t xml:space="preserve">, and </w:t>
      </w:r>
      <w:r w:rsidR="00175F14" w:rsidRPr="00D31979">
        <w:rPr>
          <w:position w:val="-12"/>
          <w:lang w:val="en-GB"/>
        </w:rPr>
        <w:object w:dxaOrig="420" w:dyaOrig="380">
          <v:shape id="_x0000_i1032" type="#_x0000_t75" style="width:21pt;height:21pt" o:ole="">
            <v:imagedata r:id="rId28" o:title=""/>
          </v:shape>
          <o:OLEObject Type="Embed" ProgID="Equation.3" ShapeID="_x0000_i1032" DrawAspect="Content" ObjectID="_1387177423" r:id="rId29"/>
        </w:object>
      </w:r>
      <w:r w:rsidRPr="00D31979">
        <w:rPr>
          <w:lang w:val="en-GB"/>
        </w:rPr>
        <w:t xml:space="preserve"> in a s</w:t>
      </w:r>
      <w:r w:rsidR="00723367" w:rsidRPr="00D31979">
        <w:rPr>
          <w:lang w:val="en-GB"/>
        </w:rPr>
        <w:t>cenario with fund investment</w:t>
      </w:r>
      <w:r w:rsidRPr="00D31979">
        <w:rPr>
          <w:lang w:val="en-GB"/>
        </w:rPr>
        <w:t>, then the supply-side effect of A, F, and L type funds is estimated by modifying the production function as follows.</w:t>
      </w:r>
    </w:p>
    <w:p w:rsidR="00820805" w:rsidRPr="00D31979" w:rsidRDefault="00820805" w:rsidP="006234DE">
      <w:pPr>
        <w:rPr>
          <w:lang w:val="en-GB"/>
        </w:rPr>
      </w:pPr>
      <w:r w:rsidRPr="00D31979">
        <w:rPr>
          <w:position w:val="-30"/>
          <w:lang w:val="en-GB"/>
        </w:rPr>
        <w:object w:dxaOrig="3760" w:dyaOrig="760">
          <v:shape id="_x0000_i1033" type="#_x0000_t75" style="width:187.5pt;height:39pt" o:ole="">
            <v:imagedata r:id="rId30" o:title=""/>
          </v:shape>
          <o:OLEObject Type="Embed" ProgID="Equation.3" ShapeID="_x0000_i1033" DrawAspect="Content" ObjectID="_1387177424" r:id="rId31"/>
        </w:object>
      </w:r>
      <w:r w:rsidR="009C10EB">
        <w:rPr>
          <w:lang w:val="en-GB"/>
        </w:rPr>
        <w:t xml:space="preserve"> </w:t>
      </w:r>
      <w:r w:rsidR="009C10EB">
        <w:rPr>
          <w:lang w:val="en-GB"/>
        </w:rPr>
        <w:tab/>
      </w:r>
      <w:r w:rsidR="009C10EB">
        <w:rPr>
          <w:lang w:val="en-GB"/>
        </w:rPr>
        <w:tab/>
      </w:r>
      <w:r w:rsidR="009C10EB">
        <w:rPr>
          <w:lang w:val="en-GB"/>
        </w:rPr>
        <w:tab/>
      </w:r>
      <w:r w:rsidR="009C10EB">
        <w:rPr>
          <w:lang w:val="en-GB"/>
        </w:rPr>
        <w:tab/>
      </w:r>
      <w:r w:rsidR="009C10EB">
        <w:rPr>
          <w:lang w:val="en-GB"/>
        </w:rPr>
        <w:tab/>
      </w:r>
      <w:r w:rsidR="009C10EB">
        <w:rPr>
          <w:lang w:val="en-GB"/>
        </w:rPr>
        <w:tab/>
        <w:t>(2.1</w:t>
      </w:r>
      <w:r w:rsidRPr="00D31979">
        <w:rPr>
          <w:lang w:val="en-GB"/>
        </w:rPr>
        <w:t>)</w:t>
      </w:r>
    </w:p>
    <w:p w:rsidR="005B2E85" w:rsidRPr="00D31979" w:rsidRDefault="005B2E85" w:rsidP="00FC6076">
      <w:pPr>
        <w:rPr>
          <w:lang w:val="en-GB"/>
        </w:rPr>
      </w:pPr>
      <w:r w:rsidRPr="00D31979">
        <w:rPr>
          <w:lang w:val="en-GB"/>
        </w:rPr>
        <w:t xml:space="preserve">Where </w:t>
      </w:r>
      <w:r w:rsidR="00820805" w:rsidRPr="00D31979">
        <w:rPr>
          <w:position w:val="-12"/>
          <w:lang w:val="en-GB"/>
        </w:rPr>
        <w:object w:dxaOrig="460" w:dyaOrig="380">
          <v:shape id="_x0000_i1034" type="#_x0000_t75" style="width:24pt;height:21pt" o:ole="">
            <v:imagedata r:id="rId32" o:title=""/>
          </v:shape>
          <o:OLEObject Type="Embed" ProgID="Equation.3" ShapeID="_x0000_i1034" DrawAspect="Content" ObjectID="_1387177425" r:id="rId33"/>
        </w:object>
      </w:r>
      <w:r w:rsidR="00820805" w:rsidRPr="00D31979">
        <w:rPr>
          <w:lang w:val="en-GB"/>
        </w:rPr>
        <w:t xml:space="preserve"> </w:t>
      </w:r>
      <w:r w:rsidRPr="00D31979">
        <w:rPr>
          <w:lang w:val="en-GB"/>
        </w:rPr>
        <w:t xml:space="preserve">is the real value added in sector </w:t>
      </w:r>
      <w:r w:rsidRPr="00D31979">
        <w:rPr>
          <w:i/>
          <w:lang w:val="en-GB"/>
        </w:rPr>
        <w:t>i</w:t>
      </w:r>
      <w:r w:rsidRPr="00D31979">
        <w:rPr>
          <w:lang w:val="en-GB"/>
        </w:rPr>
        <w:t xml:space="preserve"> in a scenario with funds</w:t>
      </w:r>
      <w:r w:rsidR="00820805" w:rsidRPr="00D31979">
        <w:rPr>
          <w:lang w:val="en-GB"/>
        </w:rPr>
        <w:t xml:space="preserve">, </w:t>
      </w:r>
      <w:r w:rsidR="00820805" w:rsidRPr="00D31979">
        <w:rPr>
          <w:position w:val="-12"/>
          <w:lang w:val="en-GB"/>
        </w:rPr>
        <w:object w:dxaOrig="480" w:dyaOrig="380">
          <v:shape id="_x0000_i1035" type="#_x0000_t75" style="width:24pt;height:21pt" o:ole="">
            <v:imagedata r:id="rId34" o:title=""/>
          </v:shape>
          <o:OLEObject Type="Embed" ProgID="Equation.3" ShapeID="_x0000_i1035" DrawAspect="Content" ObjectID="_1387177426" r:id="rId35"/>
        </w:object>
      </w:r>
      <w:r w:rsidR="00820805" w:rsidRPr="00D31979">
        <w:rPr>
          <w:lang w:val="en-GB"/>
        </w:rPr>
        <w:t xml:space="preserve"> </w:t>
      </w:r>
      <w:r w:rsidRPr="00D31979">
        <w:rPr>
          <w:lang w:val="en-GB"/>
        </w:rPr>
        <w:t xml:space="preserve">is the real value added in sector </w:t>
      </w:r>
      <w:r w:rsidRPr="00D31979">
        <w:rPr>
          <w:i/>
          <w:lang w:val="en-GB"/>
        </w:rPr>
        <w:t>i</w:t>
      </w:r>
      <w:r w:rsidRPr="00D31979">
        <w:rPr>
          <w:lang w:val="en-GB"/>
        </w:rPr>
        <w:t xml:space="preserve"> in a scenario without funds, </w:t>
      </w:r>
      <w:r w:rsidR="00A4212A" w:rsidRPr="00D31979">
        <w:rPr>
          <w:position w:val="-6"/>
          <w:lang w:val="en-GB"/>
        </w:rPr>
        <w:object w:dxaOrig="240" w:dyaOrig="220">
          <v:shape id="_x0000_i1036" type="#_x0000_t75" style="width:12pt;height:12pt" o:ole="">
            <v:imagedata r:id="rId36" o:title=""/>
          </v:shape>
          <o:OLEObject Type="Embed" ProgID="Equation.3" ShapeID="_x0000_i1036" DrawAspect="Content" ObjectID="_1387177427" r:id="rId37"/>
        </w:object>
      </w:r>
      <w:r w:rsidRPr="00D31979">
        <w:rPr>
          <w:lang w:val="en-GB"/>
        </w:rPr>
        <w:t xml:space="preserve"> is the labour elasticity of output</w:t>
      </w:r>
      <w:r w:rsidR="00A4212A" w:rsidRPr="00D31979">
        <w:rPr>
          <w:lang w:val="en-GB"/>
        </w:rPr>
        <w:t>,</w:t>
      </w:r>
      <w:r w:rsidR="00820805" w:rsidRPr="00D31979">
        <w:rPr>
          <w:lang w:val="en-GB"/>
        </w:rPr>
        <w:t xml:space="preserve"> </w:t>
      </w:r>
      <w:r w:rsidR="00820805" w:rsidRPr="00D31979">
        <w:rPr>
          <w:position w:val="-10"/>
          <w:lang w:val="en-GB"/>
        </w:rPr>
        <w:object w:dxaOrig="240" w:dyaOrig="340">
          <v:shape id="_x0000_i1037" type="#_x0000_t75" style="width:12pt;height:18.75pt" o:ole="">
            <v:imagedata r:id="rId38" o:title=""/>
          </v:shape>
          <o:OLEObject Type="Embed" ProgID="Equation.3" ShapeID="_x0000_i1037" DrawAspect="Content" ObjectID="_1387177428" r:id="rId39"/>
        </w:object>
      </w:r>
      <w:r w:rsidR="00820805" w:rsidRPr="00D31979">
        <w:rPr>
          <w:lang w:val="en-GB"/>
        </w:rPr>
        <w:t xml:space="preserve"> </w:t>
      </w:r>
      <w:r w:rsidRPr="00D31979">
        <w:rPr>
          <w:lang w:val="en-GB"/>
        </w:rPr>
        <w:t>and</w:t>
      </w:r>
      <w:r w:rsidR="00820805" w:rsidRPr="00D31979">
        <w:rPr>
          <w:lang w:val="en-GB"/>
        </w:rPr>
        <w:t xml:space="preserve"> </w:t>
      </w:r>
      <w:r w:rsidR="00820805" w:rsidRPr="00D31979">
        <w:rPr>
          <w:position w:val="-10"/>
          <w:lang w:val="en-GB"/>
        </w:rPr>
        <w:object w:dxaOrig="260" w:dyaOrig="340">
          <v:shape id="_x0000_i1038" type="#_x0000_t75" style="width:12pt;height:18.75pt" o:ole="">
            <v:imagedata r:id="rId40" o:title=""/>
          </v:shape>
          <o:OLEObject Type="Embed" ProgID="Equation.3" ShapeID="_x0000_i1038" DrawAspect="Content" ObjectID="_1387177429" r:id="rId41"/>
        </w:object>
      </w:r>
      <w:r w:rsidR="00820805" w:rsidRPr="00D31979">
        <w:rPr>
          <w:lang w:val="en-GB"/>
        </w:rPr>
        <w:t xml:space="preserve"> </w:t>
      </w:r>
      <w:r w:rsidRPr="00D31979">
        <w:rPr>
          <w:lang w:val="en-GB"/>
        </w:rPr>
        <w:t xml:space="preserve">are the elasticity of public capital and human capital, respectively, </w:t>
      </w:r>
      <w:r w:rsidR="00820805" w:rsidRPr="00D31979">
        <w:rPr>
          <w:position w:val="-10"/>
          <w:lang w:val="en-GB"/>
        </w:rPr>
        <w:object w:dxaOrig="260" w:dyaOrig="340">
          <v:shape id="_x0000_i1039" type="#_x0000_t75" style="width:12pt;height:18.75pt" o:ole="">
            <v:imagedata r:id="rId42" o:title=""/>
          </v:shape>
          <o:OLEObject Type="Embed" ProgID="Equation.3" ShapeID="_x0000_i1039" DrawAspect="Content" ObjectID="_1387177430" r:id="rId43"/>
        </w:object>
      </w:r>
      <w:r w:rsidR="00820805" w:rsidRPr="00D31979">
        <w:rPr>
          <w:lang w:val="en-GB"/>
        </w:rPr>
        <w:t xml:space="preserve"> </w:t>
      </w:r>
      <w:r w:rsidRPr="00D31979">
        <w:rPr>
          <w:lang w:val="en-GB"/>
        </w:rPr>
        <w:t>is the output externality coefficient</w:t>
      </w:r>
      <w:r w:rsidR="00820805" w:rsidRPr="00D31979">
        <w:rPr>
          <w:lang w:val="en-GB"/>
        </w:rPr>
        <w:t>, b</w:t>
      </w:r>
      <w:r w:rsidRPr="00D31979">
        <w:rPr>
          <w:lang w:val="en-GB"/>
        </w:rPr>
        <w:t>ut</w:t>
      </w:r>
      <w:r w:rsidR="00820805" w:rsidRPr="00D31979">
        <w:rPr>
          <w:lang w:val="en-GB"/>
        </w:rPr>
        <w:t xml:space="preserve"> </w:t>
      </w:r>
      <w:r w:rsidR="002B695B" w:rsidRPr="00D31979">
        <w:rPr>
          <w:position w:val="-10"/>
          <w:lang w:val="en-GB"/>
        </w:rPr>
        <w:object w:dxaOrig="279" w:dyaOrig="340">
          <v:shape id="_x0000_i1040" type="#_x0000_t75" style="width:13.5pt;height:18.75pt" o:ole="">
            <v:imagedata r:id="rId44" o:title=""/>
          </v:shape>
          <o:OLEObject Type="Embed" ProgID="Equation.3" ShapeID="_x0000_i1040" DrawAspect="Content" ObjectID="_1387177431" r:id="rId45"/>
        </w:object>
      </w:r>
      <w:r w:rsidR="00820805" w:rsidRPr="00D31979">
        <w:rPr>
          <w:lang w:val="en-GB"/>
        </w:rPr>
        <w:t xml:space="preserve"> </w:t>
      </w:r>
      <w:r w:rsidRPr="00D31979">
        <w:rPr>
          <w:lang w:val="en-GB"/>
        </w:rPr>
        <w:t>is the factor productivity externality coefficient</w:t>
      </w:r>
      <w:r w:rsidR="00820805" w:rsidRPr="00D31979">
        <w:rPr>
          <w:lang w:val="en-GB"/>
        </w:rPr>
        <w:t xml:space="preserve">. </w:t>
      </w:r>
      <w:r w:rsidRPr="00D31979">
        <w:rPr>
          <w:lang w:val="en-GB"/>
        </w:rPr>
        <w:t xml:space="preserve">The external effect of output arises from the fact that, as manufacturing develops, the economy becomes more able, for example, to attract direct investment or compete on the world markets, thanks to </w:t>
      </w:r>
      <w:r w:rsidR="006D7944" w:rsidRPr="00D31979">
        <w:rPr>
          <w:lang w:val="en-GB"/>
        </w:rPr>
        <w:t xml:space="preserve">the improved </w:t>
      </w:r>
      <w:r w:rsidRPr="00D31979">
        <w:rPr>
          <w:lang w:val="en-GB"/>
        </w:rPr>
        <w:t>quality of production and a greater variety of products. Similar external effects can arise as a result of higher labour productivity, which is why the production function also has a factor productivity externality coefficient (Bradley et al, 2005).</w:t>
      </w:r>
    </w:p>
    <w:p w:rsidR="00A4212A" w:rsidRPr="00D31979" w:rsidRDefault="00FB14D1" w:rsidP="00FC6076">
      <w:pPr>
        <w:rPr>
          <w:lang w:val="en-GB"/>
        </w:rPr>
      </w:pPr>
      <w:r w:rsidRPr="00D31979">
        <w:rPr>
          <w:lang w:val="en-GB"/>
        </w:rPr>
        <w:t xml:space="preserve">We estimate the effect of accumulated fixed capital on the supply side by including the variable </w:t>
      </w:r>
      <w:r w:rsidRPr="00D31979">
        <w:rPr>
          <w:position w:val="-12"/>
          <w:lang w:val="en-GB"/>
        </w:rPr>
        <w:object w:dxaOrig="499" w:dyaOrig="380">
          <v:shape id="_x0000_i1041" type="#_x0000_t75" style="width:25.5pt;height:21pt" o:ole="">
            <v:imagedata r:id="rId26" o:title=""/>
          </v:shape>
          <o:OLEObject Type="Embed" ProgID="Equation.3" ShapeID="_x0000_i1041" DrawAspect="Content" ObjectID="_1387177432" r:id="rId46"/>
        </w:object>
      </w:r>
      <w:r w:rsidRPr="00D31979">
        <w:rPr>
          <w:lang w:val="en-GB"/>
        </w:rPr>
        <w:t xml:space="preserve">.in place of variable </w:t>
      </w:r>
      <w:r w:rsidRPr="00D31979">
        <w:rPr>
          <w:position w:val="-12"/>
          <w:lang w:val="en-GB"/>
        </w:rPr>
        <w:object w:dxaOrig="540" w:dyaOrig="380">
          <v:shape id="_x0000_i1042" type="#_x0000_t75" style="width:27pt;height:21pt" o:ole="">
            <v:imagedata r:id="rId18" o:title=""/>
          </v:shape>
          <o:OLEObject Type="Embed" ProgID="Equation.3" ShapeID="_x0000_i1042" DrawAspect="Content" ObjectID="_1387177433" r:id="rId47"/>
        </w:object>
      </w:r>
      <w:r w:rsidRPr="00D31979">
        <w:rPr>
          <w:lang w:val="en-GB"/>
        </w:rPr>
        <w:t xml:space="preserve"> in the production function of sector </w:t>
      </w:r>
      <w:r w:rsidRPr="00D31979">
        <w:rPr>
          <w:i/>
          <w:lang w:val="en-GB"/>
        </w:rPr>
        <w:t>i</w:t>
      </w:r>
      <w:r w:rsidRPr="00D31979">
        <w:rPr>
          <w:lang w:val="en-GB"/>
        </w:rPr>
        <w:t>.</w:t>
      </w:r>
      <w:r w:rsidR="00A4212A" w:rsidRPr="00D31979">
        <w:rPr>
          <w:lang w:val="en-GB"/>
        </w:rPr>
        <w:t xml:space="preserve">  </w:t>
      </w:r>
    </w:p>
    <w:p w:rsidR="00A4212A" w:rsidRPr="00D31979" w:rsidRDefault="0080258D" w:rsidP="00A4212A">
      <w:pPr>
        <w:keepNext/>
        <w:rPr>
          <w:b/>
          <w:color w:val="365F91" w:themeColor="accent1" w:themeShade="BF"/>
          <w:lang w:val="en-GB"/>
        </w:rPr>
      </w:pPr>
      <w:r w:rsidRPr="00D31979">
        <w:rPr>
          <w:b/>
          <w:color w:val="365F91" w:themeColor="accent1" w:themeShade="BF"/>
          <w:lang w:val="en-GB"/>
        </w:rPr>
        <w:lastRenderedPageBreak/>
        <w:t>Demand-side effect</w:t>
      </w:r>
      <w:r w:rsidR="00BB523A" w:rsidRPr="00D31979">
        <w:rPr>
          <w:b/>
          <w:color w:val="365F91" w:themeColor="accent1" w:themeShade="BF"/>
          <w:lang w:val="en-GB"/>
        </w:rPr>
        <w:t>s</w:t>
      </w:r>
    </w:p>
    <w:p w:rsidR="00A4212A" w:rsidRPr="00D31979" w:rsidRDefault="00BB523A" w:rsidP="00C87679">
      <w:pPr>
        <w:rPr>
          <w:lang w:val="en-GB"/>
        </w:rPr>
      </w:pPr>
      <w:r w:rsidRPr="00D31979">
        <w:rPr>
          <w:lang w:val="en-GB"/>
        </w:rPr>
        <w:t xml:space="preserve">We assume that A-type </w:t>
      </w:r>
      <w:r w:rsidR="007D2D2D" w:rsidRPr="00D31979">
        <w:rPr>
          <w:lang w:val="en-GB"/>
        </w:rPr>
        <w:t xml:space="preserve">and F-type </w:t>
      </w:r>
      <w:r w:rsidRPr="00D31979">
        <w:rPr>
          <w:lang w:val="en-GB"/>
        </w:rPr>
        <w:t xml:space="preserve">expenditures are equally split between investment and compensation to labour. </w:t>
      </w:r>
      <w:r w:rsidR="007D2D2D" w:rsidRPr="00D31979">
        <w:rPr>
          <w:lang w:val="en-GB"/>
        </w:rPr>
        <w:t>We assume that all K-type expenditures are investment. We add all L-type expenditures to total labour compensation</w:t>
      </w:r>
      <w:r w:rsidR="00C87679" w:rsidRPr="00D31979">
        <w:rPr>
          <w:lang w:val="en-GB"/>
        </w:rPr>
        <w:t xml:space="preserve"> </w:t>
      </w:r>
      <w:r w:rsidR="00A4212A" w:rsidRPr="00D31979">
        <w:rPr>
          <w:lang w:val="en-GB"/>
        </w:rPr>
        <w:t xml:space="preserve">(BICEPS, 2008a). </w:t>
      </w:r>
    </w:p>
    <w:p w:rsidR="00FC6076" w:rsidRPr="00D31979" w:rsidRDefault="00C87679" w:rsidP="00FC6076">
      <w:pPr>
        <w:pStyle w:val="Heading1"/>
        <w:rPr>
          <w:lang w:val="en-GB"/>
        </w:rPr>
      </w:pPr>
      <w:bookmarkStart w:id="8" w:name="_Toc312172606"/>
      <w:r w:rsidRPr="00D31979">
        <w:rPr>
          <w:lang w:val="en-GB"/>
        </w:rPr>
        <w:t>Results</w:t>
      </w:r>
      <w:bookmarkEnd w:id="8"/>
    </w:p>
    <w:p w:rsidR="006A36BF" w:rsidRPr="00D31979" w:rsidRDefault="006A36BF" w:rsidP="00FC6076">
      <w:pPr>
        <w:rPr>
          <w:lang w:val="en-GB"/>
        </w:rPr>
      </w:pPr>
      <w:r w:rsidRPr="00D31979">
        <w:rPr>
          <w:lang w:val="en-GB"/>
        </w:rPr>
        <w:t xml:space="preserve">In accordance with </w:t>
      </w:r>
      <w:r w:rsidR="00566505" w:rsidRPr="00D31979">
        <w:rPr>
          <w:lang w:val="en-GB"/>
        </w:rPr>
        <w:t xml:space="preserve">the </w:t>
      </w:r>
      <w:r w:rsidRPr="00D31979">
        <w:rPr>
          <w:lang w:val="en-GB"/>
        </w:rPr>
        <w:t>technical specification</w:t>
      </w:r>
      <w:r w:rsidR="00C12F42" w:rsidRPr="00D31979">
        <w:rPr>
          <w:lang w:val="en-GB"/>
        </w:rPr>
        <w:t xml:space="preserve">, </w:t>
      </w:r>
      <w:r w:rsidRPr="00D31979">
        <w:rPr>
          <w:lang w:val="en-GB"/>
        </w:rPr>
        <w:t xml:space="preserve">this section provides a quantitative evaluation of the impact of funds on the economy of Latvia </w:t>
      </w:r>
      <w:r w:rsidR="00C01339">
        <w:rPr>
          <w:lang w:val="en-GB"/>
        </w:rPr>
        <w:t>up to</w:t>
      </w:r>
      <w:r w:rsidRPr="00D31979">
        <w:rPr>
          <w:lang w:val="en-GB"/>
        </w:rPr>
        <w:t xml:space="preserve"> 2020 by sector and </w:t>
      </w:r>
      <w:r w:rsidR="00566505" w:rsidRPr="00D31979">
        <w:rPr>
          <w:lang w:val="en-GB"/>
        </w:rPr>
        <w:t>under</w:t>
      </w:r>
      <w:r w:rsidRPr="00D31979">
        <w:rPr>
          <w:lang w:val="en-GB"/>
        </w:rPr>
        <w:t xml:space="preserve"> several different scenarios. We provide the model-generated quantitative assessment of the impact on GDP components from the expenditure side, on five sectors of </w:t>
      </w:r>
      <w:r w:rsidR="00A816E0" w:rsidRPr="00D31979">
        <w:rPr>
          <w:lang w:val="en-GB"/>
        </w:rPr>
        <w:t>the economy</w:t>
      </w:r>
      <w:r w:rsidRPr="00D31979">
        <w:rPr>
          <w:lang w:val="en-GB"/>
        </w:rPr>
        <w:t xml:space="preserve">, on employment and unemployment, on the level of </w:t>
      </w:r>
      <w:r w:rsidR="0018359B" w:rsidRPr="00D31979">
        <w:rPr>
          <w:lang w:val="en-GB"/>
        </w:rPr>
        <w:t>consumer</w:t>
      </w:r>
      <w:r w:rsidRPr="00D31979">
        <w:rPr>
          <w:lang w:val="en-GB"/>
        </w:rPr>
        <w:t xml:space="preserve"> prices, and on budget </w:t>
      </w:r>
      <w:r w:rsidR="00CB23FC" w:rsidRPr="00D31979">
        <w:rPr>
          <w:lang w:val="en-GB"/>
        </w:rPr>
        <w:t>revenues</w:t>
      </w:r>
      <w:r w:rsidRPr="00D31979">
        <w:rPr>
          <w:lang w:val="en-GB"/>
        </w:rPr>
        <w:t xml:space="preserve">. We </w:t>
      </w:r>
      <w:r w:rsidR="00D86CC1" w:rsidRPr="00D31979">
        <w:rPr>
          <w:lang w:val="en-GB"/>
        </w:rPr>
        <w:t xml:space="preserve">also </w:t>
      </w:r>
      <w:r w:rsidRPr="00D31979">
        <w:rPr>
          <w:lang w:val="en-GB"/>
        </w:rPr>
        <w:t xml:space="preserve">provide </w:t>
      </w:r>
      <w:r w:rsidR="00713A37" w:rsidRPr="00D31979">
        <w:rPr>
          <w:lang w:val="en-GB"/>
        </w:rPr>
        <w:t xml:space="preserve">our </w:t>
      </w:r>
      <w:r w:rsidR="004974A9" w:rsidRPr="00D31979">
        <w:rPr>
          <w:lang w:val="en-GB"/>
        </w:rPr>
        <w:t>assessment</w:t>
      </w:r>
      <w:r w:rsidR="00713A37" w:rsidRPr="00D31979">
        <w:rPr>
          <w:lang w:val="en-GB"/>
        </w:rPr>
        <w:t>s</w:t>
      </w:r>
      <w:r w:rsidR="004974A9" w:rsidRPr="00D31979">
        <w:rPr>
          <w:lang w:val="en-GB"/>
        </w:rPr>
        <w:t xml:space="preserve"> </w:t>
      </w:r>
      <w:r w:rsidR="00713A37" w:rsidRPr="00D31979">
        <w:rPr>
          <w:lang w:val="en-GB"/>
        </w:rPr>
        <w:t>under</w:t>
      </w:r>
      <w:r w:rsidR="004974A9" w:rsidRPr="00D31979">
        <w:rPr>
          <w:lang w:val="en-GB"/>
        </w:rPr>
        <w:t xml:space="preserve"> three alternative assumptions about the strength of the crowding-out effect</w:t>
      </w:r>
      <w:r w:rsidR="006978FA" w:rsidRPr="00D31979">
        <w:rPr>
          <w:lang w:val="en-GB"/>
        </w:rPr>
        <w:t xml:space="preserve">. The crowding out or </w:t>
      </w:r>
      <w:r w:rsidR="00092E1C" w:rsidRPr="00D31979">
        <w:rPr>
          <w:lang w:val="en-GB"/>
        </w:rPr>
        <w:t xml:space="preserve">investment </w:t>
      </w:r>
      <w:r w:rsidR="006978FA" w:rsidRPr="00D31979">
        <w:rPr>
          <w:lang w:val="en-GB"/>
        </w:rPr>
        <w:t xml:space="preserve">substitution </w:t>
      </w:r>
      <w:r w:rsidR="00092E1C" w:rsidRPr="00D31979">
        <w:rPr>
          <w:lang w:val="en-GB"/>
        </w:rPr>
        <w:t>effect stems from the fact that in bot</w:t>
      </w:r>
      <w:r w:rsidR="009C10EB">
        <w:rPr>
          <w:lang w:val="en-GB"/>
        </w:rPr>
        <w:t>h the private and public sector</w:t>
      </w:r>
      <w:r w:rsidR="00916B25">
        <w:rPr>
          <w:lang w:val="en-GB"/>
        </w:rPr>
        <w:t>s</w:t>
      </w:r>
      <w:r w:rsidR="00092E1C" w:rsidRPr="00D31979">
        <w:rPr>
          <w:lang w:val="en-GB"/>
        </w:rPr>
        <w:t xml:space="preserve"> projects have and will be undertaken even if the funds had not been available. Thus, the funds partly </w:t>
      </w:r>
      <w:r w:rsidR="00092E1C" w:rsidRPr="00D31979">
        <w:rPr>
          <w:i/>
          <w:lang w:val="en-GB"/>
        </w:rPr>
        <w:t>substitute</w:t>
      </w:r>
      <w:r w:rsidR="00092E1C" w:rsidRPr="00D31979">
        <w:rPr>
          <w:lang w:val="en-GB"/>
        </w:rPr>
        <w:t xml:space="preserve"> or </w:t>
      </w:r>
      <w:r w:rsidR="00092E1C" w:rsidRPr="00D31979">
        <w:rPr>
          <w:i/>
          <w:lang w:val="en-GB"/>
        </w:rPr>
        <w:t>crowd out</w:t>
      </w:r>
      <w:r w:rsidR="00092E1C" w:rsidRPr="00D31979">
        <w:rPr>
          <w:lang w:val="en-GB"/>
        </w:rPr>
        <w:t xml:space="preserve"> domestic investment (both private and public)</w:t>
      </w:r>
      <w:r w:rsidR="001C1201" w:rsidRPr="00D31979">
        <w:rPr>
          <w:lang w:val="en-GB"/>
        </w:rPr>
        <w:t xml:space="preserve">. The problem faced by a modeller </w:t>
      </w:r>
      <w:r w:rsidR="00916B25">
        <w:rPr>
          <w:lang w:val="en-GB"/>
        </w:rPr>
        <w:t xml:space="preserve">is </w:t>
      </w:r>
      <w:r w:rsidR="001C1201" w:rsidRPr="00D31979">
        <w:rPr>
          <w:lang w:val="en-GB"/>
        </w:rPr>
        <w:t xml:space="preserve">that we have very limited evidence on the degree of crowding out and, in case of Latvia, there have been no studies on this topic. </w:t>
      </w:r>
      <w:r w:rsidR="00D93C26" w:rsidRPr="00D31979">
        <w:rPr>
          <w:lang w:val="en-GB"/>
        </w:rPr>
        <w:t xml:space="preserve">According to evidence on other countries, the degree of crowding can be up to 50% (Ederveen et al, 2003). In this </w:t>
      </w:r>
      <w:r w:rsidR="00883A44" w:rsidRPr="00D31979">
        <w:rPr>
          <w:lang w:val="en-GB"/>
        </w:rPr>
        <w:t>study we consider three alternative scenarios: (i)</w:t>
      </w:r>
      <w:r w:rsidR="004974A9" w:rsidRPr="00D31979">
        <w:rPr>
          <w:lang w:val="en-GB"/>
        </w:rPr>
        <w:t xml:space="preserve"> 15% crowding out; </w:t>
      </w:r>
      <w:r w:rsidR="00883A44" w:rsidRPr="00D31979">
        <w:rPr>
          <w:lang w:val="en-GB"/>
        </w:rPr>
        <w:t xml:space="preserve">(ii) </w:t>
      </w:r>
      <w:r w:rsidR="004974A9" w:rsidRPr="00D31979">
        <w:rPr>
          <w:lang w:val="en-GB"/>
        </w:rPr>
        <w:t>30% crowding out</w:t>
      </w:r>
      <w:r w:rsidR="00883A44" w:rsidRPr="00D31979">
        <w:rPr>
          <w:lang w:val="en-GB"/>
        </w:rPr>
        <w:t xml:space="preserve"> (</w:t>
      </w:r>
      <w:r w:rsidR="00916B25">
        <w:rPr>
          <w:lang w:val="en-GB"/>
        </w:rPr>
        <w:t>central</w:t>
      </w:r>
      <w:r w:rsidR="00883A44" w:rsidRPr="00D31979">
        <w:rPr>
          <w:lang w:val="en-GB"/>
        </w:rPr>
        <w:t xml:space="preserve"> scenario)</w:t>
      </w:r>
      <w:r w:rsidR="004974A9" w:rsidRPr="00D31979">
        <w:rPr>
          <w:lang w:val="en-GB"/>
        </w:rPr>
        <w:t>;</w:t>
      </w:r>
      <w:r w:rsidR="00883A44" w:rsidRPr="00D31979">
        <w:rPr>
          <w:lang w:val="en-GB"/>
        </w:rPr>
        <w:t xml:space="preserve"> (iii)</w:t>
      </w:r>
      <w:r w:rsidR="004974A9" w:rsidRPr="00D31979">
        <w:rPr>
          <w:lang w:val="en-GB"/>
        </w:rPr>
        <w:t xml:space="preserve"> and 50% crowding out. </w:t>
      </w:r>
      <w:r w:rsidR="00883A44" w:rsidRPr="00D31979">
        <w:rPr>
          <w:lang w:val="en-GB"/>
        </w:rPr>
        <w:t xml:space="preserve">The 30% crowding out scenario is seen as the </w:t>
      </w:r>
      <w:r w:rsidR="00916B25">
        <w:rPr>
          <w:lang w:val="en-GB"/>
        </w:rPr>
        <w:t>central</w:t>
      </w:r>
      <w:r w:rsidR="00883A44" w:rsidRPr="00D31979">
        <w:rPr>
          <w:lang w:val="en-GB"/>
        </w:rPr>
        <w:t xml:space="preserve"> scenario, since the share of national co-financing (both private and public) is roughly 30%</w:t>
      </w:r>
      <w:r w:rsidR="00C01339">
        <w:rPr>
          <w:rStyle w:val="FootnoteReference"/>
          <w:lang w:val="en-GB"/>
        </w:rPr>
        <w:footnoteReference w:id="3"/>
      </w:r>
      <w:r w:rsidR="00883A44" w:rsidRPr="00D31979">
        <w:rPr>
          <w:lang w:val="en-GB"/>
        </w:rPr>
        <w:t xml:space="preserve">. </w:t>
      </w:r>
      <w:r w:rsidR="004974A9" w:rsidRPr="00D31979">
        <w:rPr>
          <w:lang w:val="en-GB"/>
        </w:rPr>
        <w:t xml:space="preserve">The overall evaluation of the impact of funds on the main macroeconomic indicators is provided in subsection 3.1, while subsection 3.2 </w:t>
      </w:r>
      <w:r w:rsidR="00713A37" w:rsidRPr="00D31979">
        <w:rPr>
          <w:lang w:val="en-GB"/>
        </w:rPr>
        <w:t>features</w:t>
      </w:r>
      <w:r w:rsidR="004974A9" w:rsidRPr="00D31979">
        <w:rPr>
          <w:lang w:val="en-GB"/>
        </w:rPr>
        <w:t xml:space="preserve"> the evaluation of the impact of funds by priority.</w:t>
      </w:r>
    </w:p>
    <w:p w:rsidR="003B384C" w:rsidRPr="00D31979" w:rsidRDefault="00D86CC1" w:rsidP="003B384C">
      <w:pPr>
        <w:pStyle w:val="Heading2"/>
        <w:rPr>
          <w:lang w:val="en-GB"/>
        </w:rPr>
      </w:pPr>
      <w:bookmarkStart w:id="9" w:name="_Toc312172607"/>
      <w:r w:rsidRPr="00D31979">
        <w:rPr>
          <w:lang w:val="en-GB"/>
        </w:rPr>
        <w:t xml:space="preserve">The impact of funds of the </w:t>
      </w:r>
      <w:r w:rsidR="00161A44" w:rsidRPr="00D31979">
        <w:rPr>
          <w:lang w:val="en-GB"/>
        </w:rPr>
        <w:t xml:space="preserve">2004-2006 </w:t>
      </w:r>
      <w:r w:rsidR="00CB23FC" w:rsidRPr="00D31979">
        <w:rPr>
          <w:lang w:val="en-GB"/>
        </w:rPr>
        <w:t xml:space="preserve">and </w:t>
      </w:r>
      <w:r w:rsidR="00161A44" w:rsidRPr="00D31979">
        <w:rPr>
          <w:lang w:val="en-GB"/>
        </w:rPr>
        <w:t xml:space="preserve">2007-2013 </w:t>
      </w:r>
      <w:r w:rsidRPr="00D31979">
        <w:rPr>
          <w:lang w:val="en-GB"/>
        </w:rPr>
        <w:t>planning period</w:t>
      </w:r>
      <w:r w:rsidR="00CB23FC" w:rsidRPr="00D31979">
        <w:rPr>
          <w:lang w:val="en-GB"/>
        </w:rPr>
        <w:t>s</w:t>
      </w:r>
      <w:r w:rsidRPr="00D31979">
        <w:rPr>
          <w:lang w:val="en-GB"/>
        </w:rPr>
        <w:t xml:space="preserve"> on the main macroeconomic indicators</w:t>
      </w:r>
      <w:bookmarkEnd w:id="9"/>
    </w:p>
    <w:p w:rsidR="001120D2" w:rsidRPr="00D31979" w:rsidRDefault="00D86CC1" w:rsidP="00FC6076">
      <w:pPr>
        <w:rPr>
          <w:lang w:val="en-GB"/>
        </w:rPr>
      </w:pPr>
      <w:r w:rsidRPr="00D31979">
        <w:rPr>
          <w:lang w:val="en-GB"/>
        </w:rPr>
        <w:t xml:space="preserve">Table </w:t>
      </w:r>
      <w:r w:rsidR="00CC0CC9" w:rsidRPr="00D31979">
        <w:rPr>
          <w:lang w:val="en-GB"/>
        </w:rPr>
        <w:t>3.1</w:t>
      </w:r>
      <w:r w:rsidRPr="00D31979">
        <w:rPr>
          <w:lang w:val="en-GB"/>
        </w:rPr>
        <w:t xml:space="preserve"> provides </w:t>
      </w:r>
      <w:r w:rsidR="00577861">
        <w:rPr>
          <w:lang w:val="en-GB"/>
        </w:rPr>
        <w:t>an</w:t>
      </w:r>
      <w:r w:rsidR="00577861" w:rsidRPr="00D31979">
        <w:rPr>
          <w:lang w:val="en-GB"/>
        </w:rPr>
        <w:t xml:space="preserve"> overall</w:t>
      </w:r>
      <w:r w:rsidRPr="00D31979">
        <w:rPr>
          <w:lang w:val="en-GB"/>
        </w:rPr>
        <w:t xml:space="preserve"> assessment of the return on fund investment </w:t>
      </w:r>
      <w:r w:rsidR="0006316D" w:rsidRPr="00D31979">
        <w:rPr>
          <w:lang w:val="en-GB"/>
        </w:rPr>
        <w:t>under</w:t>
      </w:r>
      <w:r w:rsidRPr="00D31979">
        <w:rPr>
          <w:lang w:val="en-GB"/>
        </w:rPr>
        <w:t xml:space="preserve"> alternative assumptions </w:t>
      </w:r>
      <w:r w:rsidR="0006316D" w:rsidRPr="00D31979">
        <w:rPr>
          <w:lang w:val="en-GB"/>
        </w:rPr>
        <w:t>about</w:t>
      </w:r>
      <w:r w:rsidRPr="00D31979">
        <w:rPr>
          <w:lang w:val="en-GB"/>
        </w:rPr>
        <w:t xml:space="preserve"> </w:t>
      </w:r>
      <w:r w:rsidR="0006316D" w:rsidRPr="00D31979">
        <w:rPr>
          <w:lang w:val="en-GB"/>
        </w:rPr>
        <w:t>the size of crowding-out effect and the value of the discount rate</w:t>
      </w:r>
      <w:r w:rsidRPr="00D31979">
        <w:rPr>
          <w:lang w:val="en-GB"/>
        </w:rPr>
        <w:t xml:space="preserve">. </w:t>
      </w:r>
      <w:r w:rsidR="00161A44" w:rsidRPr="00D31979">
        <w:rPr>
          <w:lang w:val="en-GB"/>
        </w:rPr>
        <w:t xml:space="preserve">It should be stressed that there is no unique internationally accepted way of summing up the return of the funds in a single indicator. The best way of understanding the impact of the funds is in terms of the time path of the impacts on the main macroeconomic variables. The return summarized in a single indicator is not a rate of return in the conventional sense, e.g., as might be generated by a cost-benefit analysis. This applies to the aggregate impact of the funds and even more </w:t>
      </w:r>
      <w:r w:rsidR="001120D2" w:rsidRPr="00D31979">
        <w:rPr>
          <w:lang w:val="en-GB"/>
        </w:rPr>
        <w:t xml:space="preserve">so to the returns by investment priorities. </w:t>
      </w:r>
    </w:p>
    <w:p w:rsidR="003B384C" w:rsidRPr="00D31979" w:rsidRDefault="001120D2" w:rsidP="00FC6076">
      <w:pPr>
        <w:rPr>
          <w:lang w:val="en-GB"/>
        </w:rPr>
      </w:pPr>
      <w:r w:rsidRPr="00D31979">
        <w:rPr>
          <w:lang w:val="en-GB"/>
        </w:rPr>
        <w:t xml:space="preserve">This study uses two alternative indicators to summarize the impact of the funds: (i) policy multiplier (similar to the indicator used by Bradley et. al (2000)) and (ii) return on one </w:t>
      </w:r>
      <w:r w:rsidRPr="00D31979">
        <w:rPr>
          <w:lang w:val="en-GB"/>
        </w:rPr>
        <w:lastRenderedPageBreak/>
        <w:t xml:space="preserve">invested lat. </w:t>
      </w:r>
      <w:r w:rsidR="00D86CC1" w:rsidRPr="00D31979">
        <w:rPr>
          <w:lang w:val="en-GB"/>
        </w:rPr>
        <w:t xml:space="preserve">The estimated </w:t>
      </w:r>
      <w:r w:rsidRPr="00D31979">
        <w:rPr>
          <w:lang w:val="en-GB"/>
        </w:rPr>
        <w:t xml:space="preserve">policy multiplier </w:t>
      </w:r>
      <w:r w:rsidR="00D86CC1" w:rsidRPr="00D31979">
        <w:rPr>
          <w:lang w:val="en-GB"/>
        </w:rPr>
        <w:t xml:space="preserve">shows the </w:t>
      </w:r>
      <w:r w:rsidR="003D4B68" w:rsidRPr="00D31979">
        <w:rPr>
          <w:lang w:val="en-GB"/>
        </w:rPr>
        <w:t xml:space="preserve">present value of the </w:t>
      </w:r>
      <w:r w:rsidR="00C01339">
        <w:rPr>
          <w:lang w:val="en-GB"/>
        </w:rPr>
        <w:t xml:space="preserve">GDP </w:t>
      </w:r>
      <w:r w:rsidR="003D4B68" w:rsidRPr="00D31979">
        <w:rPr>
          <w:lang w:val="en-GB"/>
        </w:rPr>
        <w:t xml:space="preserve">return on </w:t>
      </w:r>
      <w:r w:rsidR="007803DA" w:rsidRPr="00D31979">
        <w:rPr>
          <w:lang w:val="en-GB"/>
        </w:rPr>
        <w:t>one l</w:t>
      </w:r>
      <w:r w:rsidR="003D4B68" w:rsidRPr="00D31979">
        <w:rPr>
          <w:lang w:val="en-GB"/>
        </w:rPr>
        <w:t>at:</w:t>
      </w:r>
    </w:p>
    <w:p w:rsidR="006A245F" w:rsidRPr="00D31979" w:rsidRDefault="00965588">
      <w:pPr>
        <w:rPr>
          <w:lang w:val="en-GB"/>
        </w:rPr>
      </w:pPr>
      <w:r w:rsidRPr="00D31979">
        <w:rPr>
          <w:position w:val="-60"/>
          <w:lang w:val="en-GB"/>
        </w:rPr>
        <w:object w:dxaOrig="2340" w:dyaOrig="1320">
          <v:shape id="_x0000_i1043" type="#_x0000_t75" style="width:117pt;height:66.75pt" o:ole="">
            <v:imagedata r:id="rId48" o:title=""/>
          </v:shape>
          <o:OLEObject Type="Embed" ProgID="Equation.3" ShapeID="_x0000_i1043" DrawAspect="Content" ObjectID="_1387177434" r:id="rId49"/>
        </w:object>
      </w:r>
      <w:r w:rsidR="006A245F" w:rsidRPr="00D31979">
        <w:rPr>
          <w:lang w:val="en-GB"/>
        </w:rPr>
        <w:t xml:space="preserve"> </w:t>
      </w:r>
      <w:r w:rsidR="006A245F" w:rsidRPr="00D31979">
        <w:rPr>
          <w:lang w:val="en-GB"/>
        </w:rPr>
        <w:tab/>
      </w:r>
      <w:r w:rsidR="006A245F" w:rsidRPr="00D31979">
        <w:rPr>
          <w:lang w:val="en-GB"/>
        </w:rPr>
        <w:tab/>
      </w:r>
      <w:r w:rsidR="006A245F" w:rsidRPr="00D31979">
        <w:rPr>
          <w:lang w:val="en-GB"/>
        </w:rPr>
        <w:tab/>
      </w:r>
      <w:r w:rsidR="006A245F" w:rsidRPr="00D31979">
        <w:rPr>
          <w:lang w:val="en-GB"/>
        </w:rPr>
        <w:tab/>
      </w:r>
      <w:r w:rsidR="006A245F" w:rsidRPr="00D31979">
        <w:rPr>
          <w:lang w:val="en-GB"/>
        </w:rPr>
        <w:tab/>
      </w:r>
      <w:r w:rsidR="006A245F" w:rsidRPr="00D31979">
        <w:rPr>
          <w:lang w:val="en-GB"/>
        </w:rPr>
        <w:tab/>
      </w:r>
      <w:r w:rsidR="006A245F" w:rsidRPr="00D31979">
        <w:rPr>
          <w:lang w:val="en-GB"/>
        </w:rPr>
        <w:tab/>
      </w:r>
      <w:r w:rsidR="006A245F" w:rsidRPr="00D31979">
        <w:rPr>
          <w:lang w:val="en-GB"/>
        </w:rPr>
        <w:tab/>
        <w:t>(</w:t>
      </w:r>
      <w:r w:rsidR="00CC0912" w:rsidRPr="00D31979">
        <w:rPr>
          <w:lang w:val="en-GB"/>
        </w:rPr>
        <w:t>3.1</w:t>
      </w:r>
      <w:r w:rsidR="006A245F" w:rsidRPr="00D31979">
        <w:rPr>
          <w:lang w:val="en-GB"/>
        </w:rPr>
        <w:t xml:space="preserve">)  </w:t>
      </w:r>
    </w:p>
    <w:p w:rsidR="00965588" w:rsidRPr="00D31979" w:rsidRDefault="003D4B68" w:rsidP="003072F1">
      <w:pPr>
        <w:rPr>
          <w:lang w:val="en-GB"/>
        </w:rPr>
      </w:pPr>
      <w:r w:rsidRPr="00D31979">
        <w:rPr>
          <w:lang w:val="en-GB"/>
        </w:rPr>
        <w:t xml:space="preserve">Where </w:t>
      </w:r>
      <w:r w:rsidR="00965588" w:rsidRPr="00D31979">
        <w:rPr>
          <w:i/>
          <w:lang w:val="en-GB"/>
        </w:rPr>
        <w:t>RF</w:t>
      </w:r>
      <w:r w:rsidR="00965588" w:rsidRPr="00D31979">
        <w:rPr>
          <w:lang w:val="en-GB"/>
        </w:rPr>
        <w:t xml:space="preserve"> </w:t>
      </w:r>
      <w:r w:rsidR="0018359B" w:rsidRPr="00D31979">
        <w:rPr>
          <w:lang w:val="en-GB"/>
        </w:rPr>
        <w:t>is</w:t>
      </w:r>
      <w:r w:rsidR="00965588" w:rsidRPr="00D31979">
        <w:rPr>
          <w:lang w:val="en-GB"/>
        </w:rPr>
        <w:t xml:space="preserve"> </w:t>
      </w:r>
      <w:r w:rsidRPr="00D31979">
        <w:rPr>
          <w:lang w:val="en-GB"/>
        </w:rPr>
        <w:t>return on fund investment</w:t>
      </w:r>
      <w:r w:rsidR="00965588" w:rsidRPr="00D31979">
        <w:rPr>
          <w:lang w:val="en-GB"/>
        </w:rPr>
        <w:t xml:space="preserve">, </w:t>
      </w:r>
      <w:r w:rsidR="00965588" w:rsidRPr="00D31979">
        <w:rPr>
          <w:i/>
          <w:lang w:val="en-GB"/>
        </w:rPr>
        <w:t>t</w:t>
      </w:r>
      <w:r w:rsidRPr="00D31979">
        <w:rPr>
          <w:lang w:val="en-GB"/>
        </w:rPr>
        <w:t xml:space="preserve"> is the length of the return period in years</w:t>
      </w:r>
      <w:r w:rsidR="00965588" w:rsidRPr="00D31979">
        <w:rPr>
          <w:lang w:val="en-GB"/>
        </w:rPr>
        <w:t xml:space="preserve">, </w:t>
      </w:r>
      <w:r w:rsidR="00965588" w:rsidRPr="00D31979">
        <w:rPr>
          <w:position w:val="-12"/>
          <w:lang w:val="en-GB"/>
        </w:rPr>
        <w:object w:dxaOrig="740" w:dyaOrig="360">
          <v:shape id="_x0000_i1044" type="#_x0000_t75" style="width:36.75pt;height:19.5pt" o:ole="">
            <v:imagedata r:id="rId50" o:title=""/>
          </v:shape>
          <o:OLEObject Type="Embed" ProgID="Equation.3" ShapeID="_x0000_i1044" DrawAspect="Content" ObjectID="_1387177435" r:id="rId51"/>
        </w:object>
      </w:r>
      <w:r w:rsidR="00965588" w:rsidRPr="00D31979">
        <w:rPr>
          <w:lang w:val="en-GB"/>
        </w:rPr>
        <w:t xml:space="preserve"> i</w:t>
      </w:r>
      <w:r w:rsidRPr="00D31979">
        <w:rPr>
          <w:lang w:val="en-GB"/>
        </w:rPr>
        <w:t xml:space="preserve">s the increase in real GDP in period </w:t>
      </w:r>
      <w:r w:rsidRPr="00D31979">
        <w:rPr>
          <w:i/>
          <w:lang w:val="en-GB"/>
        </w:rPr>
        <w:t>t</w:t>
      </w:r>
      <w:r w:rsidRPr="00D31979">
        <w:rPr>
          <w:lang w:val="en-GB"/>
        </w:rPr>
        <w:t xml:space="preserve"> that can be a</w:t>
      </w:r>
      <w:r w:rsidR="00723367" w:rsidRPr="00D31979">
        <w:rPr>
          <w:lang w:val="en-GB"/>
        </w:rPr>
        <w:t>ttributed to fund investment</w:t>
      </w:r>
      <w:r w:rsidRPr="00D31979">
        <w:rPr>
          <w:lang w:val="en-GB"/>
        </w:rPr>
        <w:t xml:space="preserve">, </w:t>
      </w:r>
      <w:r w:rsidR="00965588" w:rsidRPr="00D31979">
        <w:rPr>
          <w:position w:val="-12"/>
          <w:lang w:val="en-GB"/>
        </w:rPr>
        <w:object w:dxaOrig="260" w:dyaOrig="360">
          <v:shape id="_x0000_i1045" type="#_x0000_t75" style="width:12pt;height:19.5pt" o:ole="">
            <v:imagedata r:id="rId52" o:title=""/>
          </v:shape>
          <o:OLEObject Type="Embed" ProgID="Equation.3" ShapeID="_x0000_i1045" DrawAspect="Content" ObjectID="_1387177436" r:id="rId53"/>
        </w:object>
      </w:r>
      <w:r w:rsidR="00965588" w:rsidRPr="00D31979">
        <w:rPr>
          <w:lang w:val="en-GB"/>
        </w:rPr>
        <w:t xml:space="preserve"> </w:t>
      </w:r>
      <w:r w:rsidRPr="00D31979">
        <w:rPr>
          <w:lang w:val="en-GB"/>
        </w:rPr>
        <w:t xml:space="preserve">are fund-financed investments in year </w:t>
      </w:r>
      <w:r w:rsidRPr="00D31979">
        <w:rPr>
          <w:i/>
          <w:lang w:val="en-GB"/>
        </w:rPr>
        <w:t>t</w:t>
      </w:r>
      <w:r w:rsidRPr="00D31979">
        <w:rPr>
          <w:lang w:val="en-GB"/>
        </w:rPr>
        <w:t xml:space="preserve"> in constant prices</w:t>
      </w:r>
      <w:r w:rsidR="001120D2" w:rsidRPr="00D31979">
        <w:rPr>
          <w:lang w:val="en-GB"/>
        </w:rPr>
        <w:t xml:space="preserve"> (including </w:t>
      </w:r>
      <w:r w:rsidR="008F7A16">
        <w:rPr>
          <w:lang w:val="en-GB"/>
        </w:rPr>
        <w:t>fund</w:t>
      </w:r>
      <w:r w:rsidR="001120D2" w:rsidRPr="00D31979">
        <w:rPr>
          <w:lang w:val="en-GB"/>
        </w:rPr>
        <w:t xml:space="preserve"> financing, </w:t>
      </w:r>
      <w:r w:rsidR="008F7A16">
        <w:rPr>
          <w:lang w:val="en-GB"/>
        </w:rPr>
        <w:t xml:space="preserve">as well as </w:t>
      </w:r>
      <w:r w:rsidR="001120D2" w:rsidRPr="00D31979">
        <w:rPr>
          <w:lang w:val="en-GB"/>
        </w:rPr>
        <w:t>national public and private co-financing)</w:t>
      </w:r>
      <w:r w:rsidRPr="00D31979">
        <w:rPr>
          <w:lang w:val="en-GB"/>
        </w:rPr>
        <w:t xml:space="preserve">, and </w:t>
      </w:r>
      <w:r w:rsidRPr="00D31979">
        <w:rPr>
          <w:i/>
          <w:lang w:val="en-GB"/>
        </w:rPr>
        <w:t>r</w:t>
      </w:r>
      <w:r w:rsidRPr="00D31979">
        <w:rPr>
          <w:lang w:val="en-GB"/>
        </w:rPr>
        <w:t xml:space="preserve"> is the discount rate.</w:t>
      </w:r>
    </w:p>
    <w:p w:rsidR="001120D2" w:rsidRPr="00D31979" w:rsidRDefault="001120D2" w:rsidP="003072F1">
      <w:pPr>
        <w:rPr>
          <w:lang w:val="en-GB"/>
        </w:rPr>
      </w:pPr>
      <w:r w:rsidRPr="00D31979">
        <w:rPr>
          <w:lang w:val="en-GB"/>
        </w:rPr>
        <w:t>Return on one invested lat is calculated according to equation (3.2):</w:t>
      </w:r>
    </w:p>
    <w:p w:rsidR="001120D2" w:rsidRPr="00D31979" w:rsidRDefault="001120D2" w:rsidP="003072F1">
      <w:pPr>
        <w:rPr>
          <w:lang w:val="en-GB"/>
        </w:rPr>
      </w:pPr>
      <w:r w:rsidRPr="00D31979">
        <w:rPr>
          <w:position w:val="-60"/>
          <w:lang w:val="en-GB"/>
        </w:rPr>
        <w:object w:dxaOrig="3080" w:dyaOrig="1320">
          <v:shape id="_x0000_i1046" type="#_x0000_t75" style="width:153pt;height:66.75pt" o:ole="">
            <v:imagedata r:id="rId54" o:title=""/>
          </v:shape>
          <o:OLEObject Type="Embed" ProgID="Equation.3" ShapeID="_x0000_i1046" DrawAspect="Content" ObjectID="_1387177437" r:id="rId55"/>
        </w:object>
      </w:r>
      <w:r w:rsidRPr="00D31979">
        <w:rPr>
          <w:lang w:val="en-GB"/>
        </w:rPr>
        <w:t xml:space="preserve">   </w:t>
      </w:r>
      <w:r w:rsidRPr="00D31979">
        <w:rPr>
          <w:lang w:val="en-GB"/>
        </w:rPr>
        <w:tab/>
      </w:r>
      <w:r w:rsidRPr="00D31979">
        <w:rPr>
          <w:lang w:val="en-GB"/>
        </w:rPr>
        <w:tab/>
      </w:r>
      <w:r w:rsidRPr="00D31979">
        <w:rPr>
          <w:lang w:val="en-GB"/>
        </w:rPr>
        <w:tab/>
      </w:r>
      <w:r w:rsidRPr="00D31979">
        <w:rPr>
          <w:lang w:val="en-GB"/>
        </w:rPr>
        <w:tab/>
      </w:r>
      <w:r w:rsidRPr="00D31979">
        <w:rPr>
          <w:lang w:val="en-GB"/>
        </w:rPr>
        <w:tab/>
      </w:r>
      <w:r w:rsidRPr="00D31979">
        <w:rPr>
          <w:lang w:val="en-GB"/>
        </w:rPr>
        <w:tab/>
      </w:r>
      <w:r w:rsidRPr="00D31979">
        <w:rPr>
          <w:lang w:val="en-GB"/>
        </w:rPr>
        <w:tab/>
        <w:t>(3.2)</w:t>
      </w:r>
    </w:p>
    <w:p w:rsidR="001120D2" w:rsidRPr="00D31979" w:rsidRDefault="001120D2" w:rsidP="003072F1">
      <w:pPr>
        <w:rPr>
          <w:lang w:val="en-GB"/>
        </w:rPr>
      </w:pPr>
      <w:r w:rsidRPr="00D31979">
        <w:rPr>
          <w:lang w:val="en-GB"/>
        </w:rPr>
        <w:t xml:space="preserve">Where </w:t>
      </w:r>
      <w:r w:rsidRPr="00D31979">
        <w:rPr>
          <w:position w:val="-12"/>
          <w:lang w:val="en-GB"/>
        </w:rPr>
        <w:object w:dxaOrig="700" w:dyaOrig="380">
          <v:shape id="_x0000_i1047" type="#_x0000_t75" style="width:35.25pt;height:21.75pt" o:ole="">
            <v:imagedata r:id="rId56" o:title=""/>
          </v:shape>
          <o:OLEObject Type="Embed" ProgID="Equation.3" ShapeID="_x0000_i1047" DrawAspect="Content" ObjectID="_1387177438" r:id="rId57"/>
        </w:object>
      </w:r>
      <w:r w:rsidRPr="00D31979">
        <w:rPr>
          <w:lang w:val="en-GB"/>
        </w:rPr>
        <w:t xml:space="preserve"> is real GDP in period </w:t>
      </w:r>
      <w:r w:rsidRPr="00D31979">
        <w:rPr>
          <w:i/>
          <w:lang w:val="en-GB"/>
        </w:rPr>
        <w:t>t</w:t>
      </w:r>
      <w:r w:rsidRPr="00D31979">
        <w:rPr>
          <w:lang w:val="en-GB"/>
        </w:rPr>
        <w:t xml:space="preserve"> in </w:t>
      </w:r>
      <w:r w:rsidR="00CB7CA9" w:rsidRPr="00D31979">
        <w:rPr>
          <w:lang w:val="en-GB"/>
        </w:rPr>
        <w:t xml:space="preserve">the scenario which includes the funds, </w:t>
      </w:r>
      <w:r w:rsidR="00CB7CA9" w:rsidRPr="00D31979">
        <w:rPr>
          <w:position w:val="-12"/>
          <w:lang w:val="en-GB"/>
        </w:rPr>
        <w:object w:dxaOrig="780" w:dyaOrig="380">
          <v:shape id="_x0000_i1048" type="#_x0000_t75" style="width:39pt;height:21.75pt" o:ole="">
            <v:imagedata r:id="rId58" o:title=""/>
          </v:shape>
          <o:OLEObject Type="Embed" ProgID="Equation.3" ShapeID="_x0000_i1048" DrawAspect="Content" ObjectID="_1387177439" r:id="rId59"/>
        </w:object>
      </w:r>
      <w:r w:rsidR="00CB7CA9" w:rsidRPr="00D31979">
        <w:rPr>
          <w:lang w:val="en-GB"/>
        </w:rPr>
        <w:t xml:space="preserve"> is real GDP in period </w:t>
      </w:r>
      <w:r w:rsidR="00CB7CA9" w:rsidRPr="00D31979">
        <w:rPr>
          <w:i/>
          <w:lang w:val="en-GB"/>
        </w:rPr>
        <w:t>t</w:t>
      </w:r>
      <w:r w:rsidR="00CB7CA9" w:rsidRPr="00D31979">
        <w:rPr>
          <w:lang w:val="en-GB"/>
        </w:rPr>
        <w:t xml:space="preserve"> in the scenario without the funds, </w:t>
      </w:r>
      <w:r w:rsidR="00CB7CA9" w:rsidRPr="00D31979">
        <w:rPr>
          <w:position w:val="-12"/>
          <w:lang w:val="en-GB"/>
        </w:rPr>
        <w:object w:dxaOrig="260" w:dyaOrig="360">
          <v:shape id="_x0000_i1049" type="#_x0000_t75" style="width:12pt;height:19.5pt" o:ole="">
            <v:imagedata r:id="rId52" o:title=""/>
          </v:shape>
          <o:OLEObject Type="Embed" ProgID="Equation.3" ShapeID="_x0000_i1049" DrawAspect="Content" ObjectID="_1387177440" r:id="rId60"/>
        </w:object>
      </w:r>
      <w:r w:rsidR="00CB7CA9" w:rsidRPr="00D31979">
        <w:rPr>
          <w:lang w:val="en-GB"/>
        </w:rPr>
        <w:t xml:space="preserve"> are funds expenditures at constant prices in the period </w:t>
      </w:r>
      <w:r w:rsidR="00CB7CA9" w:rsidRPr="00D31979">
        <w:rPr>
          <w:i/>
          <w:lang w:val="en-GB"/>
        </w:rPr>
        <w:t>t</w:t>
      </w:r>
      <w:r w:rsidR="00CB7CA9" w:rsidRPr="00D31979">
        <w:rPr>
          <w:lang w:val="en-GB"/>
        </w:rPr>
        <w:t>.</w:t>
      </w:r>
    </w:p>
    <w:p w:rsidR="00CB7CA9" w:rsidRPr="00D31979" w:rsidRDefault="00CB7CA9" w:rsidP="003072F1">
      <w:pPr>
        <w:rPr>
          <w:lang w:val="en-GB"/>
        </w:rPr>
      </w:pPr>
      <w:r w:rsidRPr="00D31979">
        <w:rPr>
          <w:lang w:val="en-GB"/>
        </w:rPr>
        <w:t>Crowding out of the funds is modelled (and also taken into account in equations (3.1) and (3.2)</w:t>
      </w:r>
      <w:r w:rsidR="009C10EB">
        <w:rPr>
          <w:lang w:val="en-GB"/>
        </w:rPr>
        <w:t>)</w:t>
      </w:r>
      <w:r w:rsidRPr="00D31979">
        <w:rPr>
          <w:lang w:val="en-GB"/>
        </w:rPr>
        <w:t xml:space="preserve"> by adjusting the fund injections correspondingly. For example, in the scenario which assumes 30% crowding out, we include only 70% of the actual funds expenditures. We assume that crowding out is equal across different types of investment. The difference between real GDP in the scenario with the funds and real GDP in the “no-fund” scenario consists of the short-term (or demand side) and long-term (or supply side) effects. The short-term impact is generated by the funds being added to the wage bill or investment, thus, initially the demand-side impact </w:t>
      </w:r>
      <w:r w:rsidR="002A40AB" w:rsidRPr="00D31979">
        <w:rPr>
          <w:lang w:val="en-GB"/>
        </w:rPr>
        <w:t xml:space="preserve">is equal to the fund injections. The supply-side impact, however, manifests itself in stronger production capacity of the economy, thus making the total impact on GDP (and therefore the difference between real GDP in the two scenarios) different from mere fund inflow. </w:t>
      </w:r>
    </w:p>
    <w:p w:rsidR="002A40AB" w:rsidRPr="00D31979" w:rsidRDefault="002A40AB" w:rsidP="003072F1">
      <w:pPr>
        <w:rPr>
          <w:lang w:val="en-GB"/>
        </w:rPr>
      </w:pPr>
      <w:r w:rsidRPr="00D31979">
        <w:rPr>
          <w:lang w:val="en-GB"/>
        </w:rPr>
        <w:t>Real GDP in the fund scenario until the 1</w:t>
      </w:r>
      <w:r w:rsidRPr="00D31979">
        <w:rPr>
          <w:vertAlign w:val="superscript"/>
          <w:lang w:val="en-GB"/>
        </w:rPr>
        <w:t>st</w:t>
      </w:r>
      <w:r w:rsidRPr="00D31979">
        <w:rPr>
          <w:lang w:val="en-GB"/>
        </w:rPr>
        <w:t xml:space="preserve"> quarter of 2011 (i.e. up to the last observation in the macro indicator database) corresponds to actual GDP, but real GDP in the no-funds scenario is a modelling result. Thus, in order to arrive at the estimate of real GDP which would prevail in the absence of the funds, the funds are subtracted from the </w:t>
      </w:r>
      <w:r w:rsidR="00986A07" w:rsidRPr="00D31979">
        <w:rPr>
          <w:lang w:val="en-GB"/>
        </w:rPr>
        <w:t xml:space="preserve">actual macroeconomic indicators. In the future periods, real GDP in the funds scenario is simulated by adding the funds, while the real GDP in the no-funds scenario is simulated under the assumption of zero fund injections. </w:t>
      </w:r>
    </w:p>
    <w:p w:rsidR="00986A07" w:rsidRPr="00D31979" w:rsidRDefault="00986A07" w:rsidP="003072F1">
      <w:pPr>
        <w:rPr>
          <w:lang w:val="en-GB"/>
        </w:rPr>
      </w:pPr>
      <w:r w:rsidRPr="00D31979">
        <w:rPr>
          <w:lang w:val="en-GB"/>
        </w:rPr>
        <w:lastRenderedPageBreak/>
        <w:t>Table 3.</w:t>
      </w:r>
      <w:r w:rsidR="00D25BE0" w:rsidRPr="00D31979">
        <w:rPr>
          <w:lang w:val="en-GB"/>
        </w:rPr>
        <w:t>1</w:t>
      </w:r>
      <w:r w:rsidRPr="00D31979">
        <w:rPr>
          <w:lang w:val="en-GB"/>
        </w:rPr>
        <w:t xml:space="preserve"> reports the estimated return to the fund expenditures in the 2004-2006 and 2007-2013 planning periods under alternative assumptions about crowding out of domestic investments and under alternative assumptions about the discount rate. The return to the funds in the 2007-2013 planning period generally exceeds that in the 2004-2006 planning period, both according to the estimated policy multipliers and the return to one invested lat. The higher return is due to </w:t>
      </w:r>
      <w:r w:rsidR="00D25BE0" w:rsidRPr="00D31979">
        <w:rPr>
          <w:lang w:val="en-GB"/>
        </w:rPr>
        <w:t xml:space="preserve">different distribution of the funds both across priorities and the NACE sectors. Assuming 30% crowding out and 5% discount rate, policy multiplier in the 2004-2006 planning period amounts to 0.88, but in the 2007-2013 planning period to 1.18, which implies that the present value of return to investment equivalent to 1 lat in present value terms, which accrues over the planning period is 0.88 lats in the 2004-2006 planning period and 1.18 lats in the 2007-2013 planning period. </w:t>
      </w:r>
    </w:p>
    <w:p w:rsidR="00D25BE0" w:rsidRPr="00D31979" w:rsidRDefault="00D25BE0">
      <w:pPr>
        <w:rPr>
          <w:b/>
          <w:lang w:val="en-GB"/>
        </w:rPr>
      </w:pPr>
    </w:p>
    <w:p w:rsidR="00D25BE0" w:rsidRPr="00D31979" w:rsidRDefault="00D25BE0" w:rsidP="00D25BE0">
      <w:pPr>
        <w:keepNext/>
        <w:keepLines/>
        <w:spacing w:after="0"/>
        <w:rPr>
          <w:b/>
          <w:lang w:val="en-GB"/>
        </w:rPr>
      </w:pPr>
      <w:r w:rsidRPr="00D31979">
        <w:rPr>
          <w:b/>
          <w:lang w:val="en-GB"/>
        </w:rPr>
        <w:t xml:space="preserve">Table 3.1: </w:t>
      </w:r>
      <w:r w:rsidR="001E2DDA" w:rsidRPr="00D31979">
        <w:rPr>
          <w:b/>
          <w:lang w:val="en-GB"/>
        </w:rPr>
        <w:t>Return to investment – policy multiplier and return to one invested lat under alternative assumptions about the discount rate and crowding out in the 2004-2006 planning period and in the 2007-2013 planning period</w:t>
      </w:r>
      <w:r w:rsidRPr="00D31979">
        <w:rPr>
          <w:b/>
          <w:lang w:val="en-GB"/>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25"/>
        <w:gridCol w:w="2306"/>
        <w:gridCol w:w="2306"/>
        <w:gridCol w:w="2306"/>
      </w:tblGrid>
      <w:tr w:rsidR="00D25BE0" w:rsidRPr="00D31979" w:rsidTr="007F0DFD">
        <w:tc>
          <w:tcPr>
            <w:tcW w:w="2325" w:type="dxa"/>
            <w:shd w:val="clear" w:color="auto" w:fill="DBE5F1" w:themeFill="accent1" w:themeFillTint="33"/>
          </w:tcPr>
          <w:p w:rsidR="00D25BE0" w:rsidRPr="00D31979" w:rsidRDefault="00D25BE0" w:rsidP="007F0DFD">
            <w:pPr>
              <w:keepNext/>
              <w:keepLines/>
              <w:rPr>
                <w:b/>
                <w:lang w:val="en-GB"/>
              </w:rPr>
            </w:pPr>
          </w:p>
        </w:tc>
        <w:tc>
          <w:tcPr>
            <w:tcW w:w="6918" w:type="dxa"/>
            <w:gridSpan w:val="3"/>
            <w:shd w:val="clear" w:color="auto" w:fill="DBE5F1" w:themeFill="accent1" w:themeFillTint="33"/>
          </w:tcPr>
          <w:p w:rsidR="00D25BE0" w:rsidRPr="00D31979" w:rsidRDefault="001E2DDA" w:rsidP="007F0DFD">
            <w:pPr>
              <w:keepNext/>
              <w:keepLines/>
              <w:jc w:val="center"/>
              <w:rPr>
                <w:b/>
                <w:lang w:val="en-GB"/>
              </w:rPr>
            </w:pPr>
            <w:r w:rsidRPr="00D31979">
              <w:rPr>
                <w:b/>
                <w:lang w:val="en-GB"/>
              </w:rPr>
              <w:t>Extent of crowding out</w:t>
            </w:r>
          </w:p>
        </w:tc>
      </w:tr>
      <w:tr w:rsidR="00D25BE0" w:rsidRPr="00D31979" w:rsidTr="007F0DFD">
        <w:tc>
          <w:tcPr>
            <w:tcW w:w="2325" w:type="dxa"/>
            <w:shd w:val="clear" w:color="auto" w:fill="DBE5F1" w:themeFill="accent1" w:themeFillTint="33"/>
          </w:tcPr>
          <w:p w:rsidR="00D25BE0" w:rsidRPr="00D31979" w:rsidRDefault="00D25BE0" w:rsidP="007F0DFD">
            <w:pPr>
              <w:keepNext/>
              <w:keepLines/>
              <w:rPr>
                <w:b/>
                <w:lang w:val="en-GB"/>
              </w:rPr>
            </w:pPr>
          </w:p>
        </w:tc>
        <w:tc>
          <w:tcPr>
            <w:tcW w:w="2306" w:type="dxa"/>
            <w:shd w:val="clear" w:color="auto" w:fill="DBE5F1" w:themeFill="accent1" w:themeFillTint="33"/>
          </w:tcPr>
          <w:p w:rsidR="00D25BE0" w:rsidRPr="00D31979" w:rsidRDefault="00D25BE0" w:rsidP="007F0DFD">
            <w:pPr>
              <w:keepNext/>
              <w:keepLines/>
              <w:jc w:val="center"/>
              <w:rPr>
                <w:b/>
                <w:lang w:val="en-GB"/>
              </w:rPr>
            </w:pPr>
            <w:r w:rsidRPr="00D31979">
              <w:rPr>
                <w:b/>
                <w:lang w:val="en-GB"/>
              </w:rPr>
              <w:t>15%</w:t>
            </w:r>
          </w:p>
        </w:tc>
        <w:tc>
          <w:tcPr>
            <w:tcW w:w="2306" w:type="dxa"/>
            <w:shd w:val="clear" w:color="auto" w:fill="DBE5F1" w:themeFill="accent1" w:themeFillTint="33"/>
          </w:tcPr>
          <w:p w:rsidR="00D25BE0" w:rsidRPr="00D31979" w:rsidRDefault="00D25BE0" w:rsidP="007F0DFD">
            <w:pPr>
              <w:keepNext/>
              <w:keepLines/>
              <w:jc w:val="center"/>
              <w:rPr>
                <w:b/>
                <w:lang w:val="en-GB"/>
              </w:rPr>
            </w:pPr>
            <w:r w:rsidRPr="00D31979">
              <w:rPr>
                <w:b/>
                <w:lang w:val="en-GB"/>
              </w:rPr>
              <w:t>30%</w:t>
            </w:r>
          </w:p>
        </w:tc>
        <w:tc>
          <w:tcPr>
            <w:tcW w:w="2306" w:type="dxa"/>
            <w:shd w:val="clear" w:color="auto" w:fill="DBE5F1" w:themeFill="accent1" w:themeFillTint="33"/>
          </w:tcPr>
          <w:p w:rsidR="00D25BE0" w:rsidRPr="00D31979" w:rsidRDefault="00D25BE0" w:rsidP="007F0DFD">
            <w:pPr>
              <w:keepNext/>
              <w:keepLines/>
              <w:jc w:val="center"/>
              <w:rPr>
                <w:b/>
                <w:lang w:val="en-GB"/>
              </w:rPr>
            </w:pPr>
            <w:r w:rsidRPr="00D31979">
              <w:rPr>
                <w:b/>
                <w:lang w:val="en-GB"/>
              </w:rPr>
              <w:t>50%</w:t>
            </w:r>
          </w:p>
        </w:tc>
      </w:tr>
      <w:tr w:rsidR="00D25BE0" w:rsidRPr="00D31979" w:rsidTr="007F0DFD">
        <w:tc>
          <w:tcPr>
            <w:tcW w:w="2325" w:type="dxa"/>
          </w:tcPr>
          <w:p w:rsidR="00D25BE0" w:rsidRPr="00D31979" w:rsidRDefault="00D25BE0" w:rsidP="007F0DFD">
            <w:pPr>
              <w:keepNext/>
              <w:keepLines/>
              <w:rPr>
                <w:i/>
                <w:lang w:val="en-GB"/>
              </w:rPr>
            </w:pPr>
          </w:p>
        </w:tc>
        <w:tc>
          <w:tcPr>
            <w:tcW w:w="6918" w:type="dxa"/>
            <w:gridSpan w:val="3"/>
          </w:tcPr>
          <w:p w:rsidR="00D25BE0" w:rsidRPr="00D31979" w:rsidRDefault="001E2DDA" w:rsidP="007F0DFD">
            <w:pPr>
              <w:keepNext/>
              <w:keepLines/>
              <w:jc w:val="center"/>
              <w:rPr>
                <w:i/>
                <w:lang w:val="en-GB"/>
              </w:rPr>
            </w:pPr>
            <w:r w:rsidRPr="00D31979">
              <w:rPr>
                <w:i/>
                <w:lang w:val="en-GB"/>
              </w:rPr>
              <w:t>2004-2006 planning period</w:t>
            </w:r>
          </w:p>
        </w:tc>
      </w:tr>
      <w:tr w:rsidR="00D25BE0" w:rsidRPr="00D31979" w:rsidTr="007F0DFD">
        <w:tc>
          <w:tcPr>
            <w:tcW w:w="2325" w:type="dxa"/>
          </w:tcPr>
          <w:p w:rsidR="00D25BE0" w:rsidRPr="00D31979" w:rsidRDefault="001E2DDA" w:rsidP="007F0DFD">
            <w:pPr>
              <w:keepNext/>
              <w:keepLines/>
              <w:rPr>
                <w:lang w:val="en-GB"/>
              </w:rPr>
            </w:pPr>
            <w:r w:rsidRPr="00D31979">
              <w:rPr>
                <w:lang w:val="en-GB"/>
              </w:rPr>
              <w:t>Policy multiplier</w:t>
            </w:r>
          </w:p>
        </w:tc>
        <w:tc>
          <w:tcPr>
            <w:tcW w:w="2306" w:type="dxa"/>
          </w:tcPr>
          <w:p w:rsidR="00D25BE0" w:rsidRPr="00D31979" w:rsidRDefault="00D25BE0" w:rsidP="007F0DFD">
            <w:pPr>
              <w:keepNext/>
              <w:keepLines/>
              <w:jc w:val="center"/>
              <w:rPr>
                <w:lang w:val="en-GB"/>
              </w:rPr>
            </w:pPr>
          </w:p>
        </w:tc>
        <w:tc>
          <w:tcPr>
            <w:tcW w:w="2306" w:type="dxa"/>
          </w:tcPr>
          <w:p w:rsidR="00D25BE0" w:rsidRPr="00D31979" w:rsidRDefault="00D25BE0" w:rsidP="007F0DFD">
            <w:pPr>
              <w:keepNext/>
              <w:keepLines/>
              <w:jc w:val="center"/>
              <w:rPr>
                <w:lang w:val="en-GB"/>
              </w:rPr>
            </w:pPr>
          </w:p>
        </w:tc>
        <w:tc>
          <w:tcPr>
            <w:tcW w:w="2306" w:type="dxa"/>
          </w:tcPr>
          <w:p w:rsidR="00D25BE0" w:rsidRPr="00D31979" w:rsidRDefault="00D25BE0" w:rsidP="007F0DFD">
            <w:pPr>
              <w:keepNext/>
              <w:keepLines/>
              <w:jc w:val="center"/>
              <w:rPr>
                <w:lang w:val="en-GB"/>
              </w:rPr>
            </w:pPr>
          </w:p>
        </w:tc>
      </w:tr>
      <w:tr w:rsidR="00D25BE0" w:rsidRPr="00D31979" w:rsidTr="007F0DFD">
        <w:tc>
          <w:tcPr>
            <w:tcW w:w="2325" w:type="dxa"/>
          </w:tcPr>
          <w:p w:rsidR="00D25BE0" w:rsidRPr="00D31979" w:rsidRDefault="00D25BE0" w:rsidP="001E2DDA">
            <w:pPr>
              <w:keepNext/>
              <w:keepLines/>
              <w:rPr>
                <w:i/>
                <w:lang w:val="en-GB"/>
              </w:rPr>
            </w:pPr>
            <w:r w:rsidRPr="00D31979">
              <w:rPr>
                <w:i/>
                <w:lang w:val="en-GB"/>
              </w:rPr>
              <w:t xml:space="preserve">    </w:t>
            </w:r>
            <w:r w:rsidR="001E2DDA" w:rsidRPr="00D31979">
              <w:rPr>
                <w:i/>
                <w:lang w:val="en-GB"/>
              </w:rPr>
              <w:t xml:space="preserve">Discount rate </w:t>
            </w:r>
            <w:r w:rsidRPr="00D31979">
              <w:rPr>
                <w:i/>
                <w:lang w:val="en-GB"/>
              </w:rPr>
              <w:t>0%</w:t>
            </w:r>
          </w:p>
        </w:tc>
        <w:tc>
          <w:tcPr>
            <w:tcW w:w="2306" w:type="dxa"/>
          </w:tcPr>
          <w:p w:rsidR="00D25BE0" w:rsidRPr="00D31979" w:rsidRDefault="00D25BE0" w:rsidP="007F0DFD">
            <w:pPr>
              <w:keepNext/>
              <w:keepLines/>
              <w:jc w:val="center"/>
              <w:rPr>
                <w:lang w:val="en-GB"/>
              </w:rPr>
            </w:pPr>
            <w:r w:rsidRPr="00D31979">
              <w:rPr>
                <w:lang w:val="en-GB"/>
              </w:rPr>
              <w:t>1.15</w:t>
            </w:r>
          </w:p>
        </w:tc>
        <w:tc>
          <w:tcPr>
            <w:tcW w:w="2306" w:type="dxa"/>
          </w:tcPr>
          <w:p w:rsidR="00D25BE0" w:rsidRPr="00D31979" w:rsidRDefault="00D25BE0" w:rsidP="007F0DFD">
            <w:pPr>
              <w:keepNext/>
              <w:keepLines/>
              <w:jc w:val="center"/>
              <w:rPr>
                <w:lang w:val="en-GB"/>
              </w:rPr>
            </w:pPr>
            <w:r w:rsidRPr="00D31979">
              <w:rPr>
                <w:lang w:val="en-GB"/>
              </w:rPr>
              <w:t>0.95</w:t>
            </w:r>
          </w:p>
        </w:tc>
        <w:tc>
          <w:tcPr>
            <w:tcW w:w="2306" w:type="dxa"/>
          </w:tcPr>
          <w:p w:rsidR="00D25BE0" w:rsidRPr="00D31979" w:rsidRDefault="00D25BE0" w:rsidP="007F0DFD">
            <w:pPr>
              <w:keepNext/>
              <w:keepLines/>
              <w:jc w:val="center"/>
              <w:rPr>
                <w:lang w:val="en-GB"/>
              </w:rPr>
            </w:pPr>
            <w:r w:rsidRPr="00D31979">
              <w:rPr>
                <w:lang w:val="en-GB"/>
              </w:rPr>
              <w:t>0.68</w:t>
            </w:r>
          </w:p>
        </w:tc>
      </w:tr>
      <w:tr w:rsidR="00D25BE0" w:rsidRPr="00D31979" w:rsidTr="007F0DFD">
        <w:tc>
          <w:tcPr>
            <w:tcW w:w="2325" w:type="dxa"/>
          </w:tcPr>
          <w:p w:rsidR="00D25BE0" w:rsidRPr="00D31979" w:rsidRDefault="00D25BE0" w:rsidP="007F0DFD">
            <w:pPr>
              <w:keepNext/>
              <w:keepLines/>
              <w:rPr>
                <w:i/>
                <w:lang w:val="en-GB"/>
              </w:rPr>
            </w:pPr>
            <w:r w:rsidRPr="00D31979">
              <w:rPr>
                <w:i/>
                <w:lang w:val="en-GB"/>
              </w:rPr>
              <w:t xml:space="preserve">    </w:t>
            </w:r>
            <w:r w:rsidR="001E2DDA" w:rsidRPr="00D31979">
              <w:rPr>
                <w:i/>
                <w:lang w:val="en-GB"/>
              </w:rPr>
              <w:t>Discount rate</w:t>
            </w:r>
            <w:r w:rsidRPr="00D31979">
              <w:rPr>
                <w:i/>
                <w:lang w:val="en-GB"/>
              </w:rPr>
              <w:t xml:space="preserve"> 3%</w:t>
            </w:r>
          </w:p>
        </w:tc>
        <w:tc>
          <w:tcPr>
            <w:tcW w:w="2306" w:type="dxa"/>
          </w:tcPr>
          <w:p w:rsidR="00D25BE0" w:rsidRPr="00D31979" w:rsidRDefault="00D25BE0" w:rsidP="007F0DFD">
            <w:pPr>
              <w:keepNext/>
              <w:keepLines/>
              <w:jc w:val="center"/>
              <w:rPr>
                <w:lang w:val="en-GB"/>
              </w:rPr>
            </w:pPr>
            <w:r w:rsidRPr="00D31979">
              <w:rPr>
                <w:lang w:val="en-GB"/>
              </w:rPr>
              <w:t>1.10</w:t>
            </w:r>
          </w:p>
        </w:tc>
        <w:tc>
          <w:tcPr>
            <w:tcW w:w="2306" w:type="dxa"/>
          </w:tcPr>
          <w:p w:rsidR="00D25BE0" w:rsidRPr="00D31979" w:rsidRDefault="00D25BE0" w:rsidP="007F0DFD">
            <w:pPr>
              <w:keepNext/>
              <w:keepLines/>
              <w:jc w:val="center"/>
              <w:rPr>
                <w:lang w:val="en-GB"/>
              </w:rPr>
            </w:pPr>
            <w:r w:rsidRPr="00D31979">
              <w:rPr>
                <w:lang w:val="en-GB"/>
              </w:rPr>
              <w:t>0.90</w:t>
            </w:r>
          </w:p>
        </w:tc>
        <w:tc>
          <w:tcPr>
            <w:tcW w:w="2306" w:type="dxa"/>
          </w:tcPr>
          <w:p w:rsidR="00D25BE0" w:rsidRPr="00D31979" w:rsidRDefault="00D25BE0" w:rsidP="007F0DFD">
            <w:pPr>
              <w:keepNext/>
              <w:keepLines/>
              <w:jc w:val="center"/>
              <w:rPr>
                <w:lang w:val="en-GB"/>
              </w:rPr>
            </w:pPr>
            <w:r w:rsidRPr="00D31979">
              <w:rPr>
                <w:lang w:val="en-GB"/>
              </w:rPr>
              <w:t>0.65</w:t>
            </w:r>
          </w:p>
        </w:tc>
      </w:tr>
      <w:tr w:rsidR="00D25BE0" w:rsidRPr="00D31979" w:rsidTr="007F0DFD">
        <w:tc>
          <w:tcPr>
            <w:tcW w:w="2325" w:type="dxa"/>
          </w:tcPr>
          <w:p w:rsidR="00D25BE0" w:rsidRPr="00D31979" w:rsidRDefault="00D25BE0" w:rsidP="007F0DFD">
            <w:pPr>
              <w:keepNext/>
              <w:keepLines/>
              <w:rPr>
                <w:i/>
                <w:lang w:val="en-GB"/>
              </w:rPr>
            </w:pPr>
            <w:r w:rsidRPr="00D31979">
              <w:rPr>
                <w:i/>
                <w:lang w:val="en-GB"/>
              </w:rPr>
              <w:t xml:space="preserve">   </w:t>
            </w:r>
            <w:r w:rsidR="001E2DDA" w:rsidRPr="00D31979">
              <w:rPr>
                <w:i/>
                <w:lang w:val="en-GB"/>
              </w:rPr>
              <w:t>Discount rate</w:t>
            </w:r>
            <w:r w:rsidRPr="00D31979">
              <w:rPr>
                <w:i/>
                <w:lang w:val="en-GB"/>
              </w:rPr>
              <w:t xml:space="preserve"> 5%</w:t>
            </w:r>
          </w:p>
        </w:tc>
        <w:tc>
          <w:tcPr>
            <w:tcW w:w="2306" w:type="dxa"/>
          </w:tcPr>
          <w:p w:rsidR="00D25BE0" w:rsidRPr="00D31979" w:rsidRDefault="00D25BE0" w:rsidP="007F0DFD">
            <w:pPr>
              <w:keepNext/>
              <w:keepLines/>
              <w:jc w:val="center"/>
              <w:rPr>
                <w:lang w:val="en-GB"/>
              </w:rPr>
            </w:pPr>
            <w:r w:rsidRPr="00D31979">
              <w:rPr>
                <w:lang w:val="en-GB"/>
              </w:rPr>
              <w:t>1.07</w:t>
            </w:r>
          </w:p>
        </w:tc>
        <w:tc>
          <w:tcPr>
            <w:tcW w:w="2306" w:type="dxa"/>
          </w:tcPr>
          <w:p w:rsidR="00D25BE0" w:rsidRPr="00D31979" w:rsidRDefault="00D25BE0" w:rsidP="007F0DFD">
            <w:pPr>
              <w:keepNext/>
              <w:keepLines/>
              <w:jc w:val="center"/>
              <w:rPr>
                <w:lang w:val="en-GB"/>
              </w:rPr>
            </w:pPr>
            <w:r w:rsidRPr="00D31979">
              <w:rPr>
                <w:lang w:val="en-GB"/>
              </w:rPr>
              <w:t>0.88</w:t>
            </w:r>
          </w:p>
        </w:tc>
        <w:tc>
          <w:tcPr>
            <w:tcW w:w="2306" w:type="dxa"/>
          </w:tcPr>
          <w:p w:rsidR="00D25BE0" w:rsidRPr="00D31979" w:rsidRDefault="00D25BE0" w:rsidP="007F0DFD">
            <w:pPr>
              <w:keepNext/>
              <w:keepLines/>
              <w:jc w:val="center"/>
              <w:rPr>
                <w:lang w:val="en-GB"/>
              </w:rPr>
            </w:pPr>
            <w:r w:rsidRPr="00D31979">
              <w:rPr>
                <w:lang w:val="en-GB"/>
              </w:rPr>
              <w:t>0.63</w:t>
            </w:r>
          </w:p>
        </w:tc>
      </w:tr>
      <w:tr w:rsidR="00D25BE0" w:rsidRPr="00D31979" w:rsidTr="007F0DFD">
        <w:tc>
          <w:tcPr>
            <w:tcW w:w="2325" w:type="dxa"/>
          </w:tcPr>
          <w:p w:rsidR="00D25BE0" w:rsidRPr="00D31979" w:rsidRDefault="001E2DDA" w:rsidP="007F0DFD">
            <w:pPr>
              <w:keepNext/>
              <w:keepLines/>
              <w:rPr>
                <w:lang w:val="en-GB"/>
              </w:rPr>
            </w:pPr>
            <w:r w:rsidRPr="00D31979">
              <w:rPr>
                <w:lang w:val="en-GB"/>
              </w:rPr>
              <w:t>Return to 1 invested lat</w:t>
            </w:r>
          </w:p>
        </w:tc>
        <w:tc>
          <w:tcPr>
            <w:tcW w:w="2306" w:type="dxa"/>
          </w:tcPr>
          <w:p w:rsidR="00D25BE0" w:rsidRPr="00D31979" w:rsidRDefault="00D25BE0" w:rsidP="007F0DFD">
            <w:pPr>
              <w:keepNext/>
              <w:keepLines/>
              <w:jc w:val="center"/>
              <w:rPr>
                <w:lang w:val="en-GB"/>
              </w:rPr>
            </w:pPr>
            <w:r w:rsidRPr="00D31979">
              <w:rPr>
                <w:lang w:val="en-GB"/>
              </w:rPr>
              <w:t>4.44</w:t>
            </w:r>
          </w:p>
        </w:tc>
        <w:tc>
          <w:tcPr>
            <w:tcW w:w="2306" w:type="dxa"/>
          </w:tcPr>
          <w:p w:rsidR="00D25BE0" w:rsidRPr="00D31979" w:rsidRDefault="00D25BE0" w:rsidP="007F0DFD">
            <w:pPr>
              <w:keepNext/>
              <w:keepLines/>
              <w:jc w:val="center"/>
              <w:rPr>
                <w:lang w:val="en-GB"/>
              </w:rPr>
            </w:pPr>
            <w:r w:rsidRPr="00D31979">
              <w:rPr>
                <w:lang w:val="en-GB"/>
              </w:rPr>
              <w:t>3.67</w:t>
            </w:r>
          </w:p>
        </w:tc>
        <w:tc>
          <w:tcPr>
            <w:tcW w:w="2306" w:type="dxa"/>
          </w:tcPr>
          <w:p w:rsidR="00D25BE0" w:rsidRPr="00D31979" w:rsidRDefault="00D25BE0" w:rsidP="007F0DFD">
            <w:pPr>
              <w:keepNext/>
              <w:keepLines/>
              <w:jc w:val="center"/>
              <w:rPr>
                <w:lang w:val="en-GB"/>
              </w:rPr>
            </w:pPr>
            <w:r w:rsidRPr="00D31979">
              <w:rPr>
                <w:lang w:val="en-GB"/>
              </w:rPr>
              <w:t>2.63</w:t>
            </w:r>
          </w:p>
        </w:tc>
      </w:tr>
      <w:tr w:rsidR="00D25BE0" w:rsidRPr="00D31979" w:rsidTr="007F0DFD">
        <w:tc>
          <w:tcPr>
            <w:tcW w:w="2325" w:type="dxa"/>
          </w:tcPr>
          <w:p w:rsidR="00D25BE0" w:rsidRPr="00D31979" w:rsidRDefault="00D25BE0" w:rsidP="007F0DFD">
            <w:pPr>
              <w:keepNext/>
              <w:keepLines/>
              <w:rPr>
                <w:i/>
                <w:lang w:val="en-GB"/>
              </w:rPr>
            </w:pPr>
          </w:p>
        </w:tc>
        <w:tc>
          <w:tcPr>
            <w:tcW w:w="6918" w:type="dxa"/>
            <w:gridSpan w:val="3"/>
          </w:tcPr>
          <w:p w:rsidR="00D25BE0" w:rsidRPr="00D31979" w:rsidRDefault="001E2DDA" w:rsidP="007F0DFD">
            <w:pPr>
              <w:keepNext/>
              <w:keepLines/>
              <w:jc w:val="center"/>
              <w:rPr>
                <w:i/>
                <w:lang w:val="en-GB"/>
              </w:rPr>
            </w:pPr>
            <w:r w:rsidRPr="00D31979">
              <w:rPr>
                <w:i/>
                <w:lang w:val="en-GB"/>
              </w:rPr>
              <w:t>2007-2013 planning period</w:t>
            </w:r>
          </w:p>
        </w:tc>
      </w:tr>
      <w:tr w:rsidR="001E2DDA" w:rsidRPr="00D31979" w:rsidTr="007F0DFD">
        <w:tc>
          <w:tcPr>
            <w:tcW w:w="2325" w:type="dxa"/>
          </w:tcPr>
          <w:p w:rsidR="001E2DDA" w:rsidRPr="00D31979" w:rsidRDefault="001E2DDA" w:rsidP="007F0DFD">
            <w:pPr>
              <w:keepNext/>
              <w:keepLines/>
              <w:rPr>
                <w:lang w:val="en-GB"/>
              </w:rPr>
            </w:pPr>
            <w:r w:rsidRPr="00D31979">
              <w:rPr>
                <w:lang w:val="en-GB"/>
              </w:rPr>
              <w:t>Policy multiplier</w:t>
            </w:r>
          </w:p>
        </w:tc>
        <w:tc>
          <w:tcPr>
            <w:tcW w:w="2306" w:type="dxa"/>
          </w:tcPr>
          <w:p w:rsidR="001E2DDA" w:rsidRPr="00D31979" w:rsidRDefault="001E2DDA" w:rsidP="007F0DFD">
            <w:pPr>
              <w:keepNext/>
              <w:keepLines/>
              <w:jc w:val="center"/>
              <w:rPr>
                <w:lang w:val="en-GB"/>
              </w:rPr>
            </w:pPr>
          </w:p>
        </w:tc>
        <w:tc>
          <w:tcPr>
            <w:tcW w:w="2306" w:type="dxa"/>
          </w:tcPr>
          <w:p w:rsidR="001E2DDA" w:rsidRPr="00D31979" w:rsidRDefault="001E2DDA" w:rsidP="007F0DFD">
            <w:pPr>
              <w:keepNext/>
              <w:keepLines/>
              <w:jc w:val="center"/>
              <w:rPr>
                <w:lang w:val="en-GB"/>
              </w:rPr>
            </w:pPr>
          </w:p>
        </w:tc>
        <w:tc>
          <w:tcPr>
            <w:tcW w:w="2306" w:type="dxa"/>
          </w:tcPr>
          <w:p w:rsidR="001E2DDA" w:rsidRPr="00D31979" w:rsidRDefault="001E2DDA" w:rsidP="007F0DFD">
            <w:pPr>
              <w:keepNext/>
              <w:keepLines/>
              <w:jc w:val="center"/>
              <w:rPr>
                <w:lang w:val="en-GB"/>
              </w:rPr>
            </w:pPr>
          </w:p>
        </w:tc>
      </w:tr>
      <w:tr w:rsidR="001E2DDA" w:rsidRPr="00D31979" w:rsidTr="007F0DFD">
        <w:tc>
          <w:tcPr>
            <w:tcW w:w="2325" w:type="dxa"/>
          </w:tcPr>
          <w:p w:rsidR="001E2DDA" w:rsidRPr="00D31979" w:rsidRDefault="001E2DDA" w:rsidP="007F0DFD">
            <w:pPr>
              <w:keepNext/>
              <w:keepLines/>
              <w:rPr>
                <w:i/>
                <w:lang w:val="en-GB"/>
              </w:rPr>
            </w:pPr>
            <w:r w:rsidRPr="00D31979">
              <w:rPr>
                <w:i/>
                <w:lang w:val="en-GB"/>
              </w:rPr>
              <w:t xml:space="preserve">    Discount rate 0%</w:t>
            </w:r>
          </w:p>
        </w:tc>
        <w:tc>
          <w:tcPr>
            <w:tcW w:w="2306" w:type="dxa"/>
          </w:tcPr>
          <w:p w:rsidR="001E2DDA" w:rsidRPr="00D31979" w:rsidRDefault="001E2DDA" w:rsidP="007F0DFD">
            <w:pPr>
              <w:keepNext/>
              <w:keepLines/>
              <w:jc w:val="center"/>
              <w:rPr>
                <w:lang w:val="en-GB"/>
              </w:rPr>
            </w:pPr>
            <w:r w:rsidRPr="00D31979">
              <w:rPr>
                <w:lang w:val="en-GB"/>
              </w:rPr>
              <w:t>1.58</w:t>
            </w:r>
          </w:p>
        </w:tc>
        <w:tc>
          <w:tcPr>
            <w:tcW w:w="2306" w:type="dxa"/>
          </w:tcPr>
          <w:p w:rsidR="001E2DDA" w:rsidRPr="00D31979" w:rsidRDefault="001E2DDA" w:rsidP="007F0DFD">
            <w:pPr>
              <w:keepNext/>
              <w:keepLines/>
              <w:jc w:val="center"/>
              <w:rPr>
                <w:lang w:val="en-GB"/>
              </w:rPr>
            </w:pPr>
            <w:r w:rsidRPr="00D31979">
              <w:rPr>
                <w:lang w:val="en-GB"/>
              </w:rPr>
              <w:t>1.28</w:t>
            </w:r>
          </w:p>
        </w:tc>
        <w:tc>
          <w:tcPr>
            <w:tcW w:w="2306" w:type="dxa"/>
          </w:tcPr>
          <w:p w:rsidR="001E2DDA" w:rsidRPr="00D31979" w:rsidRDefault="001E2DDA" w:rsidP="007F0DFD">
            <w:pPr>
              <w:keepNext/>
              <w:keepLines/>
              <w:jc w:val="center"/>
              <w:rPr>
                <w:lang w:val="en-GB"/>
              </w:rPr>
            </w:pPr>
            <w:r w:rsidRPr="00D31979">
              <w:rPr>
                <w:lang w:val="en-GB"/>
              </w:rPr>
              <w:t>0.90</w:t>
            </w:r>
          </w:p>
        </w:tc>
      </w:tr>
      <w:tr w:rsidR="001E2DDA" w:rsidRPr="00D31979" w:rsidTr="007F0DFD">
        <w:tc>
          <w:tcPr>
            <w:tcW w:w="2325" w:type="dxa"/>
          </w:tcPr>
          <w:p w:rsidR="001E2DDA" w:rsidRPr="00D31979" w:rsidRDefault="001E2DDA" w:rsidP="007F0DFD">
            <w:pPr>
              <w:keepNext/>
              <w:keepLines/>
              <w:rPr>
                <w:i/>
                <w:lang w:val="en-GB"/>
              </w:rPr>
            </w:pPr>
            <w:r w:rsidRPr="00D31979">
              <w:rPr>
                <w:i/>
                <w:lang w:val="en-GB"/>
              </w:rPr>
              <w:t xml:space="preserve">    Discount rate 3%</w:t>
            </w:r>
          </w:p>
        </w:tc>
        <w:tc>
          <w:tcPr>
            <w:tcW w:w="2306" w:type="dxa"/>
          </w:tcPr>
          <w:p w:rsidR="001E2DDA" w:rsidRPr="00D31979" w:rsidRDefault="001E2DDA" w:rsidP="007F0DFD">
            <w:pPr>
              <w:keepNext/>
              <w:keepLines/>
              <w:jc w:val="center"/>
              <w:rPr>
                <w:lang w:val="en-GB"/>
              </w:rPr>
            </w:pPr>
            <w:r w:rsidRPr="00D31979">
              <w:rPr>
                <w:lang w:val="en-GB"/>
              </w:rPr>
              <w:t>1.50</w:t>
            </w:r>
          </w:p>
        </w:tc>
        <w:tc>
          <w:tcPr>
            <w:tcW w:w="2306" w:type="dxa"/>
          </w:tcPr>
          <w:p w:rsidR="001E2DDA" w:rsidRPr="00D31979" w:rsidRDefault="001E2DDA" w:rsidP="007F0DFD">
            <w:pPr>
              <w:keepNext/>
              <w:keepLines/>
              <w:jc w:val="center"/>
              <w:rPr>
                <w:lang w:val="en-GB"/>
              </w:rPr>
            </w:pPr>
            <w:r w:rsidRPr="00D31979">
              <w:rPr>
                <w:lang w:val="en-GB"/>
              </w:rPr>
              <w:t>1.22</w:t>
            </w:r>
          </w:p>
        </w:tc>
        <w:tc>
          <w:tcPr>
            <w:tcW w:w="2306" w:type="dxa"/>
          </w:tcPr>
          <w:p w:rsidR="001E2DDA" w:rsidRPr="00D31979" w:rsidRDefault="001E2DDA" w:rsidP="007F0DFD">
            <w:pPr>
              <w:keepNext/>
              <w:keepLines/>
              <w:jc w:val="center"/>
              <w:rPr>
                <w:lang w:val="en-GB"/>
              </w:rPr>
            </w:pPr>
            <w:r w:rsidRPr="00D31979">
              <w:rPr>
                <w:lang w:val="en-GB"/>
              </w:rPr>
              <w:t>0.85</w:t>
            </w:r>
          </w:p>
        </w:tc>
      </w:tr>
      <w:tr w:rsidR="001E2DDA" w:rsidRPr="00D31979" w:rsidTr="007F0DFD">
        <w:tc>
          <w:tcPr>
            <w:tcW w:w="2325" w:type="dxa"/>
          </w:tcPr>
          <w:p w:rsidR="001E2DDA" w:rsidRPr="00D31979" w:rsidRDefault="001E2DDA" w:rsidP="007F0DFD">
            <w:pPr>
              <w:keepNext/>
              <w:keepLines/>
              <w:rPr>
                <w:i/>
                <w:lang w:val="en-GB"/>
              </w:rPr>
            </w:pPr>
            <w:r w:rsidRPr="00D31979">
              <w:rPr>
                <w:i/>
                <w:lang w:val="en-GB"/>
              </w:rPr>
              <w:t xml:space="preserve">   Discount rate 5%</w:t>
            </w:r>
          </w:p>
        </w:tc>
        <w:tc>
          <w:tcPr>
            <w:tcW w:w="2306" w:type="dxa"/>
          </w:tcPr>
          <w:p w:rsidR="001E2DDA" w:rsidRPr="00D31979" w:rsidRDefault="001E2DDA" w:rsidP="007F0DFD">
            <w:pPr>
              <w:keepNext/>
              <w:keepLines/>
              <w:jc w:val="center"/>
              <w:rPr>
                <w:lang w:val="en-GB"/>
              </w:rPr>
            </w:pPr>
            <w:r w:rsidRPr="00D31979">
              <w:rPr>
                <w:lang w:val="en-GB"/>
              </w:rPr>
              <w:t>1.46</w:t>
            </w:r>
          </w:p>
        </w:tc>
        <w:tc>
          <w:tcPr>
            <w:tcW w:w="2306" w:type="dxa"/>
          </w:tcPr>
          <w:p w:rsidR="001E2DDA" w:rsidRPr="00D31979" w:rsidRDefault="001E2DDA" w:rsidP="007F0DFD">
            <w:pPr>
              <w:keepNext/>
              <w:keepLines/>
              <w:jc w:val="center"/>
              <w:rPr>
                <w:lang w:val="en-GB"/>
              </w:rPr>
            </w:pPr>
            <w:r w:rsidRPr="00D31979">
              <w:rPr>
                <w:lang w:val="en-GB"/>
              </w:rPr>
              <w:t>1.18</w:t>
            </w:r>
          </w:p>
        </w:tc>
        <w:tc>
          <w:tcPr>
            <w:tcW w:w="2306" w:type="dxa"/>
          </w:tcPr>
          <w:p w:rsidR="001E2DDA" w:rsidRPr="00D31979" w:rsidRDefault="001E2DDA" w:rsidP="007F0DFD">
            <w:pPr>
              <w:keepNext/>
              <w:keepLines/>
              <w:jc w:val="center"/>
              <w:rPr>
                <w:lang w:val="en-GB"/>
              </w:rPr>
            </w:pPr>
            <w:r w:rsidRPr="00D31979">
              <w:rPr>
                <w:lang w:val="en-GB"/>
              </w:rPr>
              <w:t>0.83</w:t>
            </w:r>
          </w:p>
        </w:tc>
      </w:tr>
      <w:tr w:rsidR="001E2DDA" w:rsidRPr="00D31979" w:rsidTr="007F0DFD">
        <w:tc>
          <w:tcPr>
            <w:tcW w:w="2325" w:type="dxa"/>
          </w:tcPr>
          <w:p w:rsidR="001E2DDA" w:rsidRPr="00D31979" w:rsidRDefault="001E2DDA" w:rsidP="007F0DFD">
            <w:pPr>
              <w:keepNext/>
              <w:keepLines/>
              <w:rPr>
                <w:lang w:val="en-GB"/>
              </w:rPr>
            </w:pPr>
            <w:r w:rsidRPr="00D31979">
              <w:rPr>
                <w:lang w:val="en-GB"/>
              </w:rPr>
              <w:t>Return to 1 invested lat</w:t>
            </w:r>
          </w:p>
        </w:tc>
        <w:tc>
          <w:tcPr>
            <w:tcW w:w="2306" w:type="dxa"/>
          </w:tcPr>
          <w:p w:rsidR="001E2DDA" w:rsidRPr="00D31979" w:rsidRDefault="001E2DDA" w:rsidP="007F0DFD">
            <w:pPr>
              <w:keepNext/>
              <w:keepLines/>
              <w:jc w:val="center"/>
              <w:rPr>
                <w:lang w:val="en-GB"/>
              </w:rPr>
            </w:pPr>
            <w:r w:rsidRPr="00D31979">
              <w:rPr>
                <w:lang w:val="en-GB"/>
              </w:rPr>
              <w:t>14.70</w:t>
            </w:r>
          </w:p>
        </w:tc>
        <w:tc>
          <w:tcPr>
            <w:tcW w:w="2306" w:type="dxa"/>
          </w:tcPr>
          <w:p w:rsidR="001E2DDA" w:rsidRPr="00D31979" w:rsidRDefault="001E2DDA" w:rsidP="007F0DFD">
            <w:pPr>
              <w:keepNext/>
              <w:keepLines/>
              <w:jc w:val="center"/>
              <w:rPr>
                <w:lang w:val="en-GB"/>
              </w:rPr>
            </w:pPr>
            <w:r w:rsidRPr="00D31979">
              <w:rPr>
                <w:lang w:val="en-GB"/>
              </w:rPr>
              <w:t>12.25</w:t>
            </w:r>
          </w:p>
        </w:tc>
        <w:tc>
          <w:tcPr>
            <w:tcW w:w="2306" w:type="dxa"/>
          </w:tcPr>
          <w:p w:rsidR="001E2DDA" w:rsidRPr="00D31979" w:rsidRDefault="001E2DDA" w:rsidP="007F0DFD">
            <w:pPr>
              <w:keepNext/>
              <w:keepLines/>
              <w:jc w:val="center"/>
              <w:rPr>
                <w:lang w:val="en-GB"/>
              </w:rPr>
            </w:pPr>
            <w:r w:rsidRPr="00D31979">
              <w:rPr>
                <w:lang w:val="en-GB"/>
              </w:rPr>
              <w:t>8.90</w:t>
            </w:r>
          </w:p>
        </w:tc>
      </w:tr>
    </w:tbl>
    <w:p w:rsidR="00D25BE0" w:rsidRPr="00D31979" w:rsidRDefault="00D25BE0" w:rsidP="00D25BE0">
      <w:pPr>
        <w:keepNext/>
        <w:keepLines/>
        <w:spacing w:after="0"/>
        <w:rPr>
          <w:i/>
          <w:lang w:val="en-GB"/>
        </w:rPr>
      </w:pPr>
      <w:r w:rsidRPr="00D31979">
        <w:rPr>
          <w:i/>
          <w:lang w:val="en-GB"/>
        </w:rPr>
        <w:t xml:space="preserve">* </w:t>
      </w:r>
      <w:r w:rsidR="001E2DDA" w:rsidRPr="00D31979">
        <w:rPr>
          <w:i/>
          <w:lang w:val="en-GB"/>
        </w:rPr>
        <w:t xml:space="preserve">Policy multiplier calculated </w:t>
      </w:r>
      <w:r w:rsidR="00A15BB7">
        <w:rPr>
          <w:i/>
          <w:lang w:val="en-GB"/>
        </w:rPr>
        <w:t xml:space="preserve">as in </w:t>
      </w:r>
      <w:r w:rsidR="001E2DDA" w:rsidRPr="00D31979">
        <w:rPr>
          <w:i/>
          <w:lang w:val="en-GB"/>
        </w:rPr>
        <w:t>equation (3.1</w:t>
      </w:r>
      <w:r w:rsidRPr="00D31979">
        <w:rPr>
          <w:i/>
          <w:lang w:val="en-GB"/>
        </w:rPr>
        <w:t xml:space="preserve">), </w:t>
      </w:r>
      <w:r w:rsidR="001E2DDA" w:rsidRPr="00D31979">
        <w:rPr>
          <w:i/>
          <w:lang w:val="en-GB"/>
        </w:rPr>
        <w:t xml:space="preserve">return to 1 invested lat calculated </w:t>
      </w:r>
      <w:r w:rsidR="00A15BB7">
        <w:rPr>
          <w:i/>
          <w:lang w:val="en-GB"/>
        </w:rPr>
        <w:t xml:space="preserve">as in </w:t>
      </w:r>
      <w:r w:rsidR="001E2DDA" w:rsidRPr="00D31979">
        <w:rPr>
          <w:i/>
          <w:lang w:val="en-GB"/>
        </w:rPr>
        <w:t xml:space="preserve">equation </w:t>
      </w:r>
      <w:r w:rsidRPr="00D31979">
        <w:rPr>
          <w:i/>
          <w:lang w:val="en-GB"/>
        </w:rPr>
        <w:t>(3.2)</w:t>
      </w:r>
    </w:p>
    <w:p w:rsidR="00D25BE0" w:rsidRPr="00D31979" w:rsidRDefault="001E2DDA" w:rsidP="00D25BE0">
      <w:pPr>
        <w:keepLines/>
        <w:rPr>
          <w:i/>
          <w:lang w:val="en-GB"/>
        </w:rPr>
      </w:pPr>
      <w:r w:rsidRPr="00D31979">
        <w:rPr>
          <w:i/>
          <w:lang w:val="en-GB"/>
        </w:rPr>
        <w:t>Source: authors’ calculations</w:t>
      </w:r>
    </w:p>
    <w:p w:rsidR="005820D5" w:rsidRPr="00D31979" w:rsidRDefault="00713A37">
      <w:pPr>
        <w:rPr>
          <w:lang w:val="en-GB"/>
        </w:rPr>
      </w:pPr>
      <w:r w:rsidRPr="00D31979">
        <w:rPr>
          <w:lang w:val="en-GB"/>
        </w:rPr>
        <w:t>A r</w:t>
      </w:r>
      <w:r w:rsidR="00472866" w:rsidRPr="00D31979">
        <w:rPr>
          <w:lang w:val="en-GB"/>
        </w:rPr>
        <w:t>eturn that is less than one can be explained by t</w:t>
      </w:r>
      <w:r w:rsidR="00723367" w:rsidRPr="00D31979">
        <w:rPr>
          <w:lang w:val="en-GB"/>
        </w:rPr>
        <w:t>he fact that fund investment</w:t>
      </w:r>
      <w:r w:rsidR="00472866" w:rsidRPr="00D31979">
        <w:rPr>
          <w:lang w:val="en-GB"/>
        </w:rPr>
        <w:t xml:space="preserve"> partly crowd</w:t>
      </w:r>
      <w:r w:rsidR="00723367" w:rsidRPr="00D31979">
        <w:rPr>
          <w:lang w:val="en-GB"/>
        </w:rPr>
        <w:t xml:space="preserve">s out </w:t>
      </w:r>
      <w:r w:rsidR="001E2DDA" w:rsidRPr="00D31979">
        <w:rPr>
          <w:lang w:val="en-GB"/>
        </w:rPr>
        <w:t xml:space="preserve">domestic (both private and public) </w:t>
      </w:r>
      <w:r w:rsidR="00723367" w:rsidRPr="00D31979">
        <w:rPr>
          <w:lang w:val="en-GB"/>
        </w:rPr>
        <w:t>investment</w:t>
      </w:r>
      <w:r w:rsidR="00472866" w:rsidRPr="00D31979">
        <w:rPr>
          <w:lang w:val="en-GB"/>
        </w:rPr>
        <w:t xml:space="preserve">: for example, </w:t>
      </w:r>
      <w:r w:rsidR="001E2DDA" w:rsidRPr="00D31979">
        <w:rPr>
          <w:lang w:val="en-GB"/>
        </w:rPr>
        <w:t xml:space="preserve">if one assumed that </w:t>
      </w:r>
      <w:r w:rsidR="00472866" w:rsidRPr="00D31979">
        <w:rPr>
          <w:lang w:val="en-GB"/>
        </w:rPr>
        <w:t>fund investment fully crowd</w:t>
      </w:r>
      <w:r w:rsidR="00723367" w:rsidRPr="00D31979">
        <w:rPr>
          <w:lang w:val="en-GB"/>
        </w:rPr>
        <w:t>s</w:t>
      </w:r>
      <w:r w:rsidR="00472866" w:rsidRPr="00D31979">
        <w:rPr>
          <w:lang w:val="en-GB"/>
        </w:rPr>
        <w:t xml:space="preserve"> out </w:t>
      </w:r>
      <w:r w:rsidR="001E2DDA" w:rsidRPr="00D31979">
        <w:rPr>
          <w:lang w:val="en-GB"/>
        </w:rPr>
        <w:t xml:space="preserve">domestic </w:t>
      </w:r>
      <w:r w:rsidR="00723367" w:rsidRPr="00D31979">
        <w:rPr>
          <w:lang w:val="en-GB"/>
        </w:rPr>
        <w:t>investment</w:t>
      </w:r>
      <w:r w:rsidR="00472866" w:rsidRPr="00D31979">
        <w:rPr>
          <w:lang w:val="en-GB"/>
        </w:rPr>
        <w:t xml:space="preserve">, the effect of the former </w:t>
      </w:r>
      <w:r w:rsidR="009752E9" w:rsidRPr="00D31979">
        <w:rPr>
          <w:lang w:val="en-GB"/>
        </w:rPr>
        <w:t xml:space="preserve">on GDP is equal to zero. </w:t>
      </w:r>
    </w:p>
    <w:p w:rsidR="001E2DDA" w:rsidRPr="00D31979" w:rsidRDefault="001E2DDA">
      <w:pPr>
        <w:rPr>
          <w:lang w:val="en-GB"/>
        </w:rPr>
      </w:pPr>
      <w:r w:rsidRPr="00D31979">
        <w:rPr>
          <w:lang w:val="en-GB"/>
        </w:rPr>
        <w:t xml:space="preserve">The return to one invested lat exceeds the policy multiplier (even at 0% discount rate), which is due to the fact that the full impact of the fund investment does not </w:t>
      </w:r>
      <w:r w:rsidR="00897D11" w:rsidRPr="00D31979">
        <w:rPr>
          <w:lang w:val="en-GB"/>
        </w:rPr>
        <w:t xml:space="preserve">manifest itself in the same period when the investment is made, while the policy multiplier aggregates the </w:t>
      </w:r>
      <w:r w:rsidR="00897D11" w:rsidRPr="00D31979">
        <w:rPr>
          <w:i/>
          <w:lang w:val="en-GB"/>
        </w:rPr>
        <w:t>annual</w:t>
      </w:r>
      <w:r w:rsidR="00897D11" w:rsidRPr="00D31979">
        <w:rPr>
          <w:lang w:val="en-GB"/>
        </w:rPr>
        <w:t xml:space="preserve"> impact generated by the funds. I.e., </w:t>
      </w:r>
      <w:r w:rsidR="009964D8" w:rsidRPr="00D31979">
        <w:rPr>
          <w:lang w:val="en-GB"/>
        </w:rPr>
        <w:t>at</w:t>
      </w:r>
      <w:r w:rsidR="00897D11" w:rsidRPr="00D31979">
        <w:rPr>
          <w:lang w:val="en-GB"/>
        </w:rPr>
        <w:t xml:space="preserve"> the beginning of each year real GDP in the fund scenario is equal </w:t>
      </w:r>
      <w:r w:rsidR="009964D8" w:rsidRPr="00D31979">
        <w:rPr>
          <w:lang w:val="en-GB"/>
        </w:rPr>
        <w:t xml:space="preserve">to </w:t>
      </w:r>
      <w:r w:rsidR="00897D11" w:rsidRPr="00D31979">
        <w:rPr>
          <w:lang w:val="en-GB"/>
        </w:rPr>
        <w:t xml:space="preserve">real GDP in the no-fund scenario and </w:t>
      </w:r>
      <w:r w:rsidR="009964D8" w:rsidRPr="00D31979">
        <w:rPr>
          <w:lang w:val="en-GB"/>
        </w:rPr>
        <w:t xml:space="preserve">the policy multiplier aggregates the </w:t>
      </w:r>
      <w:r w:rsidR="009964D8" w:rsidRPr="00D31979">
        <w:rPr>
          <w:lang w:val="en-GB"/>
        </w:rPr>
        <w:lastRenderedPageBreak/>
        <w:t>impa</w:t>
      </w:r>
      <w:r w:rsidR="00A20671" w:rsidRPr="00D31979">
        <w:rPr>
          <w:lang w:val="en-GB"/>
        </w:rPr>
        <w:t>ct generated by the fund injection over the year. According to our results, the return to one invested lat in 2004-2006 planning period was 3.67 lats, but in 2007-2013 period – 12.25 lats.</w:t>
      </w:r>
    </w:p>
    <w:p w:rsidR="00A20671" w:rsidRPr="00D31979" w:rsidRDefault="00A20671">
      <w:pPr>
        <w:rPr>
          <w:lang w:val="en-GB"/>
        </w:rPr>
      </w:pPr>
      <w:r w:rsidRPr="00D31979">
        <w:rPr>
          <w:lang w:val="en-GB"/>
        </w:rPr>
        <w:t xml:space="preserve">As stated above, the most </w:t>
      </w:r>
      <w:r w:rsidR="00577861">
        <w:rPr>
          <w:lang w:val="en-GB"/>
        </w:rPr>
        <w:t xml:space="preserve">informative </w:t>
      </w:r>
      <w:r w:rsidR="00577861" w:rsidRPr="00D31979">
        <w:rPr>
          <w:lang w:val="en-GB"/>
        </w:rPr>
        <w:t>way</w:t>
      </w:r>
      <w:r w:rsidRPr="00D31979">
        <w:rPr>
          <w:lang w:val="en-GB"/>
        </w:rPr>
        <w:t xml:space="preserve"> of assessing the impact of the funds is to analyse the time</w:t>
      </w:r>
      <w:r w:rsidR="00C01339">
        <w:rPr>
          <w:lang w:val="en-GB"/>
        </w:rPr>
        <w:t>-</w:t>
      </w:r>
      <w:r w:rsidRPr="00D31979">
        <w:rPr>
          <w:lang w:val="en-GB"/>
        </w:rPr>
        <w:t xml:space="preserve">path of the impacts on the main macroeconomic variables. </w:t>
      </w:r>
      <w:r w:rsidR="003D2708">
        <w:rPr>
          <w:lang w:val="en-GB"/>
        </w:rPr>
        <w:t xml:space="preserve">This way of looking at the impact captures all the relevant components. </w:t>
      </w:r>
      <w:r w:rsidRPr="00D31979">
        <w:rPr>
          <w:lang w:val="en-GB"/>
        </w:rPr>
        <w:t>The time</w:t>
      </w:r>
      <w:r w:rsidR="003D2708">
        <w:rPr>
          <w:lang w:val="en-GB"/>
        </w:rPr>
        <w:t>-</w:t>
      </w:r>
      <w:r w:rsidRPr="00D31979">
        <w:rPr>
          <w:lang w:val="en-GB"/>
        </w:rPr>
        <w:t>path is calculated in accordance with formula (3.3):</w:t>
      </w:r>
    </w:p>
    <w:p w:rsidR="00822114" w:rsidRPr="00D31979" w:rsidRDefault="009A613F">
      <w:pPr>
        <w:rPr>
          <w:lang w:val="en-GB"/>
        </w:rPr>
      </w:pPr>
      <w:r w:rsidRPr="00D31979">
        <w:rPr>
          <w:position w:val="-32"/>
          <w:lang w:val="en-GB"/>
        </w:rPr>
        <w:object w:dxaOrig="2620" w:dyaOrig="760">
          <v:shape id="_x0000_i1050" type="#_x0000_t75" style="width:132pt;height:39pt" o:ole="">
            <v:imagedata r:id="rId61" o:title=""/>
          </v:shape>
          <o:OLEObject Type="Embed" ProgID="Equation.3" ShapeID="_x0000_i1050" DrawAspect="Content" ObjectID="_1387177441" r:id="rId62"/>
        </w:object>
      </w:r>
      <w:r w:rsidR="00A20671" w:rsidRPr="00D31979">
        <w:rPr>
          <w:lang w:val="en-GB"/>
        </w:rPr>
        <w:t xml:space="preserve">    </w:t>
      </w:r>
      <w:r w:rsidR="00A20671" w:rsidRPr="00D31979">
        <w:rPr>
          <w:lang w:val="en-GB"/>
        </w:rPr>
        <w:tab/>
      </w:r>
      <w:r w:rsidR="00A20671" w:rsidRPr="00D31979">
        <w:rPr>
          <w:lang w:val="en-GB"/>
        </w:rPr>
        <w:tab/>
      </w:r>
      <w:r w:rsidR="00A20671" w:rsidRPr="00D31979">
        <w:rPr>
          <w:lang w:val="en-GB"/>
        </w:rPr>
        <w:tab/>
      </w:r>
      <w:r w:rsidR="00A20671" w:rsidRPr="00D31979">
        <w:rPr>
          <w:lang w:val="en-GB"/>
        </w:rPr>
        <w:tab/>
      </w:r>
      <w:r w:rsidR="00A20671" w:rsidRPr="00D31979">
        <w:rPr>
          <w:lang w:val="en-GB"/>
        </w:rPr>
        <w:tab/>
      </w:r>
      <w:r w:rsidR="00A20671" w:rsidRPr="00D31979">
        <w:rPr>
          <w:lang w:val="en-GB"/>
        </w:rPr>
        <w:tab/>
      </w:r>
      <w:r w:rsidR="00A20671" w:rsidRPr="00D31979">
        <w:rPr>
          <w:lang w:val="en-GB"/>
        </w:rPr>
        <w:tab/>
        <w:t>(3.3</w:t>
      </w:r>
      <w:r w:rsidRPr="00D31979">
        <w:rPr>
          <w:lang w:val="en-GB"/>
        </w:rPr>
        <w:t>)</w:t>
      </w:r>
    </w:p>
    <w:p w:rsidR="003E6371" w:rsidRPr="00D31979" w:rsidRDefault="00224259">
      <w:pPr>
        <w:rPr>
          <w:lang w:val="en-GB"/>
        </w:rPr>
      </w:pPr>
      <w:r w:rsidRPr="00D31979">
        <w:rPr>
          <w:lang w:val="en-GB"/>
        </w:rPr>
        <w:t>Where</w:t>
      </w:r>
      <w:r w:rsidR="003E6371" w:rsidRPr="00D31979">
        <w:rPr>
          <w:lang w:val="en-GB"/>
        </w:rPr>
        <w:t xml:space="preserve"> </w:t>
      </w:r>
      <w:r w:rsidR="003E6371" w:rsidRPr="00D31979">
        <w:rPr>
          <w:position w:val="-4"/>
          <w:lang w:val="en-GB"/>
        </w:rPr>
        <w:object w:dxaOrig="279" w:dyaOrig="300">
          <v:shape id="_x0000_i1051" type="#_x0000_t75" style="width:13.5pt;height:16.5pt" o:ole="">
            <v:imagedata r:id="rId63" o:title=""/>
          </v:shape>
          <o:OLEObject Type="Embed" ProgID="Equation.3" ShapeID="_x0000_i1051" DrawAspect="Content" ObjectID="_1387177442" r:id="rId64"/>
        </w:object>
      </w:r>
      <w:r w:rsidR="003E6371" w:rsidRPr="00D31979">
        <w:rPr>
          <w:lang w:val="en-GB"/>
        </w:rPr>
        <w:t xml:space="preserve"> </w:t>
      </w:r>
      <w:r w:rsidRPr="00D31979">
        <w:rPr>
          <w:lang w:val="en-GB"/>
        </w:rPr>
        <w:t xml:space="preserve">is the impact on variable </w:t>
      </w:r>
      <w:r w:rsidR="003E6371" w:rsidRPr="00D31979">
        <w:rPr>
          <w:i/>
          <w:lang w:val="en-GB"/>
        </w:rPr>
        <w:t>X</w:t>
      </w:r>
      <w:r w:rsidRPr="00D31979">
        <w:rPr>
          <w:lang w:val="en-GB"/>
        </w:rPr>
        <w:t xml:space="preserve"> in </w:t>
      </w:r>
      <w:r w:rsidR="00577861" w:rsidRPr="00D31979">
        <w:rPr>
          <w:lang w:val="en-GB"/>
        </w:rPr>
        <w:t>per cent</w:t>
      </w:r>
      <w:r w:rsidR="003E6371" w:rsidRPr="00D31979">
        <w:rPr>
          <w:lang w:val="en-GB"/>
        </w:rPr>
        <w:t xml:space="preserve">, </w:t>
      </w:r>
      <w:r w:rsidR="003E6371" w:rsidRPr="00D31979">
        <w:rPr>
          <w:position w:val="-12"/>
          <w:lang w:val="en-GB"/>
        </w:rPr>
        <w:object w:dxaOrig="520" w:dyaOrig="380">
          <v:shape id="_x0000_i1052" type="#_x0000_t75" style="width:25.5pt;height:19.5pt" o:ole="">
            <v:imagedata r:id="rId65" o:title=""/>
          </v:shape>
          <o:OLEObject Type="Embed" ProgID="Equation.3" ShapeID="_x0000_i1052" DrawAspect="Content" ObjectID="_1387177443" r:id="rId66"/>
        </w:object>
      </w:r>
      <w:r w:rsidR="003E6371" w:rsidRPr="00D31979">
        <w:rPr>
          <w:lang w:val="en-GB"/>
        </w:rPr>
        <w:t xml:space="preserve"> i</w:t>
      </w:r>
      <w:r w:rsidRPr="00D31979">
        <w:rPr>
          <w:lang w:val="en-GB"/>
        </w:rPr>
        <w:t xml:space="preserve">s the increase of indicator </w:t>
      </w:r>
      <w:r w:rsidR="003E6371" w:rsidRPr="00D31979">
        <w:rPr>
          <w:i/>
          <w:lang w:val="en-GB"/>
        </w:rPr>
        <w:t>X</w:t>
      </w:r>
      <w:r w:rsidR="003E6371" w:rsidRPr="00D31979">
        <w:rPr>
          <w:lang w:val="en-GB"/>
        </w:rPr>
        <w:t xml:space="preserve"> </w:t>
      </w:r>
      <w:r w:rsidRPr="00D31979">
        <w:rPr>
          <w:lang w:val="en-GB"/>
        </w:rPr>
        <w:t xml:space="preserve">in year </w:t>
      </w:r>
      <w:r w:rsidRPr="00D31979">
        <w:rPr>
          <w:i/>
          <w:lang w:val="en-GB"/>
        </w:rPr>
        <w:t>t</w:t>
      </w:r>
      <w:r w:rsidRPr="00D31979">
        <w:rPr>
          <w:lang w:val="en-GB"/>
        </w:rPr>
        <w:t xml:space="preserve"> in a scenario with </w:t>
      </w:r>
      <w:r w:rsidR="00A20671" w:rsidRPr="00D31979">
        <w:rPr>
          <w:lang w:val="en-GB"/>
        </w:rPr>
        <w:t xml:space="preserve">the </w:t>
      </w:r>
      <w:r w:rsidRPr="00D31979">
        <w:rPr>
          <w:lang w:val="en-GB"/>
        </w:rPr>
        <w:t>funds</w:t>
      </w:r>
      <w:r w:rsidR="003E6371" w:rsidRPr="00D31979">
        <w:rPr>
          <w:lang w:val="en-GB"/>
        </w:rPr>
        <w:t xml:space="preserve">, </w:t>
      </w:r>
      <w:r w:rsidR="003E6371" w:rsidRPr="00D31979">
        <w:rPr>
          <w:position w:val="-12"/>
          <w:lang w:val="en-GB"/>
        </w:rPr>
        <w:object w:dxaOrig="620" w:dyaOrig="380">
          <v:shape id="_x0000_i1053" type="#_x0000_t75" style="width:31.5pt;height:19.5pt" o:ole="">
            <v:imagedata r:id="rId67" o:title=""/>
          </v:shape>
          <o:OLEObject Type="Embed" ProgID="Equation.3" ShapeID="_x0000_i1053" DrawAspect="Content" ObjectID="_1387177444" r:id="rId68"/>
        </w:object>
      </w:r>
      <w:r w:rsidR="003E6371" w:rsidRPr="00D31979">
        <w:rPr>
          <w:lang w:val="en-GB"/>
        </w:rPr>
        <w:t xml:space="preserve"> i</w:t>
      </w:r>
      <w:r w:rsidRPr="00D31979">
        <w:rPr>
          <w:lang w:val="en-GB"/>
        </w:rPr>
        <w:t xml:space="preserve">s the increase of indicator </w:t>
      </w:r>
      <w:r w:rsidRPr="00D31979">
        <w:rPr>
          <w:i/>
          <w:lang w:val="en-GB"/>
        </w:rPr>
        <w:t>X</w:t>
      </w:r>
      <w:r w:rsidRPr="00D31979">
        <w:rPr>
          <w:lang w:val="en-GB"/>
        </w:rPr>
        <w:t xml:space="preserve"> in year </w:t>
      </w:r>
      <w:r w:rsidRPr="00D31979">
        <w:rPr>
          <w:i/>
          <w:lang w:val="en-GB"/>
        </w:rPr>
        <w:t>t</w:t>
      </w:r>
      <w:r w:rsidRPr="00D31979">
        <w:rPr>
          <w:lang w:val="en-GB"/>
        </w:rPr>
        <w:t xml:space="preserve"> in a scenario without</w:t>
      </w:r>
      <w:r w:rsidR="00A20671" w:rsidRPr="00D31979">
        <w:rPr>
          <w:lang w:val="en-GB"/>
        </w:rPr>
        <w:t xml:space="preserve"> the </w:t>
      </w:r>
      <w:r w:rsidRPr="00D31979">
        <w:rPr>
          <w:lang w:val="en-GB"/>
        </w:rPr>
        <w:t>funds, and</w:t>
      </w:r>
      <w:r w:rsidR="00847770" w:rsidRPr="00D31979">
        <w:rPr>
          <w:position w:val="-12"/>
          <w:lang w:val="en-GB"/>
        </w:rPr>
        <w:object w:dxaOrig="440" w:dyaOrig="380">
          <v:shape id="_x0000_i1054" type="#_x0000_t75" style="width:22.5pt;height:19.5pt" o:ole="">
            <v:imagedata r:id="rId69" o:title=""/>
          </v:shape>
          <o:OLEObject Type="Embed" ProgID="Equation.3" ShapeID="_x0000_i1054" DrawAspect="Content" ObjectID="_1387177445" r:id="rId70"/>
        </w:object>
      </w:r>
      <w:r w:rsidRPr="00D31979">
        <w:rPr>
          <w:lang w:val="en-GB"/>
        </w:rPr>
        <w:t xml:space="preserve"> is the level of indicator </w:t>
      </w:r>
      <w:r w:rsidRPr="00D31979">
        <w:rPr>
          <w:i/>
          <w:lang w:val="en-GB"/>
        </w:rPr>
        <w:t>X</w:t>
      </w:r>
      <w:r w:rsidRPr="00D31979">
        <w:rPr>
          <w:lang w:val="en-GB"/>
        </w:rPr>
        <w:t xml:space="preserve"> in the previous year in a scenario with funds.</w:t>
      </w:r>
    </w:p>
    <w:p w:rsidR="00F20020" w:rsidRPr="00D31979" w:rsidRDefault="00F20020" w:rsidP="00F20020">
      <w:pPr>
        <w:spacing w:after="0"/>
        <w:rPr>
          <w:b/>
          <w:lang w:val="en-GB"/>
        </w:rPr>
      </w:pPr>
      <w:r w:rsidRPr="00D31979">
        <w:rPr>
          <w:b/>
          <w:lang w:val="en-GB"/>
        </w:rPr>
        <w:t>Figure 3.1: Impact of the funds on real GDP in 2002 – 2020, assuming 30% crowding out, %*</w:t>
      </w:r>
    </w:p>
    <w:p w:rsidR="00F20020" w:rsidRPr="00D31979" w:rsidRDefault="00F20020" w:rsidP="00F20020">
      <w:pPr>
        <w:spacing w:after="0"/>
        <w:rPr>
          <w:lang w:val="en-GB"/>
        </w:rPr>
      </w:pPr>
      <w:r w:rsidRPr="00D31979">
        <w:rPr>
          <w:noProof/>
          <w:lang w:val="lv-LV" w:eastAsia="lv-LV"/>
        </w:rPr>
        <w:drawing>
          <wp:inline distT="0" distB="0" distL="0" distR="0" wp14:anchorId="16E1E58A" wp14:editId="732F97DA">
            <wp:extent cx="3438144" cy="2066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438144" cy="2066544"/>
                    </a:xfrm>
                    <a:prstGeom prst="rect">
                      <a:avLst/>
                    </a:prstGeom>
                    <a:noFill/>
                  </pic:spPr>
                </pic:pic>
              </a:graphicData>
            </a:graphic>
          </wp:inline>
        </w:drawing>
      </w:r>
    </w:p>
    <w:p w:rsidR="00F20020" w:rsidRPr="00D31979" w:rsidRDefault="00F20020" w:rsidP="00F20020">
      <w:pPr>
        <w:spacing w:after="0"/>
        <w:rPr>
          <w:i/>
          <w:sz w:val="20"/>
          <w:szCs w:val="20"/>
          <w:lang w:val="en-GB"/>
        </w:rPr>
      </w:pPr>
      <w:r w:rsidRPr="00D31979">
        <w:rPr>
          <w:i/>
          <w:sz w:val="20"/>
          <w:szCs w:val="20"/>
          <w:lang w:val="en-GB"/>
        </w:rPr>
        <w:t xml:space="preserve">* The impact calculated according to formula (3.3). </w:t>
      </w:r>
      <w:r w:rsidR="008F7A16" w:rsidRPr="008F7A16">
        <w:rPr>
          <w:i/>
          <w:sz w:val="20"/>
          <w:szCs w:val="20"/>
          <w:lang w:val="en-GB"/>
        </w:rPr>
        <w:t xml:space="preserve">All analysed financial instruments are included. </w:t>
      </w:r>
      <w:r w:rsidRPr="00D31979">
        <w:rPr>
          <w:i/>
          <w:sz w:val="20"/>
          <w:szCs w:val="20"/>
          <w:lang w:val="en-GB"/>
        </w:rPr>
        <w:t>The fund investment included in the calculations comprise</w:t>
      </w:r>
      <w:r w:rsidR="00AA322F">
        <w:rPr>
          <w:i/>
          <w:sz w:val="20"/>
          <w:szCs w:val="20"/>
          <w:lang w:val="en-GB"/>
        </w:rPr>
        <w:t>s</w:t>
      </w:r>
      <w:r w:rsidRPr="00D31979">
        <w:rPr>
          <w:i/>
          <w:sz w:val="20"/>
          <w:szCs w:val="20"/>
          <w:lang w:val="en-GB"/>
        </w:rPr>
        <w:t xml:space="preserve"> the </w:t>
      </w:r>
      <w:r w:rsidR="008F7A16">
        <w:rPr>
          <w:i/>
          <w:sz w:val="20"/>
          <w:szCs w:val="20"/>
          <w:lang w:val="en-GB"/>
        </w:rPr>
        <w:t>fund</w:t>
      </w:r>
      <w:r w:rsidRPr="00D31979">
        <w:rPr>
          <w:i/>
          <w:sz w:val="20"/>
          <w:szCs w:val="20"/>
          <w:lang w:val="en-GB"/>
        </w:rPr>
        <w:t xml:space="preserve"> financing, national public and private co-financing.</w:t>
      </w:r>
    </w:p>
    <w:p w:rsidR="00F20020" w:rsidRPr="00D31979" w:rsidRDefault="00F20020" w:rsidP="00F20020">
      <w:pPr>
        <w:spacing w:after="120"/>
        <w:rPr>
          <w:i/>
          <w:sz w:val="20"/>
          <w:szCs w:val="20"/>
          <w:lang w:val="en-GB"/>
        </w:rPr>
      </w:pPr>
      <w:r w:rsidRPr="00D31979">
        <w:rPr>
          <w:i/>
          <w:sz w:val="20"/>
          <w:szCs w:val="20"/>
          <w:lang w:val="en-GB"/>
        </w:rPr>
        <w:t>Source: authors’ calculations</w:t>
      </w:r>
    </w:p>
    <w:p w:rsidR="00A65C92" w:rsidRPr="00D31979" w:rsidRDefault="00A65C92" w:rsidP="00F20020">
      <w:pPr>
        <w:rPr>
          <w:lang w:val="en-GB"/>
        </w:rPr>
      </w:pPr>
      <w:r w:rsidRPr="00D31979">
        <w:rPr>
          <w:lang w:val="en-GB"/>
        </w:rPr>
        <w:t>The annual increase in real GDP caused by funds in the 2002-2020 period ranged from 0.5% to 8.7%, reaching its maximum in 2011 (the estimated impact on the main macroeconomic ind</w:t>
      </w:r>
      <w:r w:rsidR="008F7A16">
        <w:rPr>
          <w:lang w:val="en-GB"/>
        </w:rPr>
        <w:t>icators is reported in table P.2</w:t>
      </w:r>
      <w:r w:rsidRPr="00D31979">
        <w:rPr>
          <w:lang w:val="en-GB"/>
        </w:rPr>
        <w:t xml:space="preserve"> in the appendix). Average annual real GDP increase attributable to the funds is 3.9%; which </w:t>
      </w:r>
      <w:r w:rsidR="003D2708">
        <w:rPr>
          <w:lang w:val="en-GB"/>
        </w:rPr>
        <w:t xml:space="preserve">may be compared </w:t>
      </w:r>
      <w:r w:rsidR="00577861">
        <w:rPr>
          <w:lang w:val="en-GB"/>
        </w:rPr>
        <w:t>with</w:t>
      </w:r>
      <w:r w:rsidR="00577861" w:rsidRPr="00D31979">
        <w:rPr>
          <w:lang w:val="en-GB"/>
        </w:rPr>
        <w:t xml:space="preserve"> the</w:t>
      </w:r>
      <w:r w:rsidRPr="00D31979">
        <w:rPr>
          <w:lang w:val="en-GB"/>
        </w:rPr>
        <w:t xml:space="preserve"> European Commission’s estimated average annual increase of 6% over the period 2004-2020 (Gáková et al, 2009). The</w:t>
      </w:r>
      <w:r w:rsidR="00DB6297" w:rsidRPr="00D31979">
        <w:rPr>
          <w:lang w:val="en-GB"/>
        </w:rPr>
        <w:t>ir</w:t>
      </w:r>
      <w:r w:rsidRPr="00D31979">
        <w:rPr>
          <w:lang w:val="en-GB"/>
        </w:rPr>
        <w:t xml:space="preserve"> estimate is based on a HERMIN type model and suggests that the impact of the EU funds in Latvia is the highest among the EU member states. </w:t>
      </w:r>
      <w:r w:rsidR="00DB6297" w:rsidRPr="00D31979">
        <w:rPr>
          <w:lang w:val="en-GB"/>
        </w:rPr>
        <w:t xml:space="preserve">The fact that our </w:t>
      </w:r>
      <w:r w:rsidR="00577861">
        <w:rPr>
          <w:lang w:val="en-GB"/>
        </w:rPr>
        <w:t xml:space="preserve">model </w:t>
      </w:r>
      <w:r w:rsidR="00577861" w:rsidRPr="00D31979">
        <w:rPr>
          <w:lang w:val="en-GB"/>
        </w:rPr>
        <w:t>suggests</w:t>
      </w:r>
      <w:r w:rsidR="00DB6297" w:rsidRPr="00D31979">
        <w:rPr>
          <w:lang w:val="en-GB"/>
        </w:rPr>
        <w:t xml:space="preserve"> a lower impact is at least partially due to the assumption of 30% crowing out.</w:t>
      </w:r>
    </w:p>
    <w:p w:rsidR="00F20020" w:rsidRPr="00D31979" w:rsidRDefault="00DB6297">
      <w:pPr>
        <w:rPr>
          <w:lang w:val="en-GB"/>
        </w:rPr>
      </w:pPr>
      <w:r w:rsidRPr="00D31979">
        <w:rPr>
          <w:lang w:val="en-GB"/>
        </w:rPr>
        <w:t xml:space="preserve">On the supply side, </w:t>
      </w:r>
      <w:r w:rsidR="008455FD" w:rsidRPr="00D31979">
        <w:rPr>
          <w:lang w:val="en-GB"/>
        </w:rPr>
        <w:t xml:space="preserve">the funds had the greatest impact on value added in construction (5.3% over 2002 – 2020) and in private services (5.0% on average, see Fig 3.2). The strong impact </w:t>
      </w:r>
      <w:r w:rsidR="008455FD" w:rsidRPr="00D31979">
        <w:rPr>
          <w:lang w:val="en-GB"/>
        </w:rPr>
        <w:lastRenderedPageBreak/>
        <w:t xml:space="preserve">on construction output is due to both the fact that this sector directly received notable amount of funds and to the fact that overall growth of investment caused by the inflow of the funds, mostly contributes to boosting output growth in this sector. The strong impact of the funds on private services is due to the fact that the funds contribute to growth of real wages, which in turn stimulates private consumption. </w:t>
      </w:r>
    </w:p>
    <w:p w:rsidR="002B368F" w:rsidRPr="00D31979" w:rsidRDefault="002B368F">
      <w:pPr>
        <w:rPr>
          <w:lang w:val="en-GB"/>
        </w:rPr>
      </w:pPr>
      <w:r w:rsidRPr="00D31979">
        <w:rPr>
          <w:lang w:val="en-GB"/>
        </w:rPr>
        <w:t xml:space="preserve">The estimated impact on agriculture in the end of the evaluation period deserves a special explanation. The estimated negative impact does not imply that the value added in this sector in the fund scenario is below that in the no-fund scenario (the opposite is true - according to our results, the </w:t>
      </w:r>
      <w:r w:rsidRPr="00D31979">
        <w:rPr>
          <w:i/>
          <w:lang w:val="en-GB"/>
        </w:rPr>
        <w:t>level</w:t>
      </w:r>
      <w:r w:rsidRPr="00D31979">
        <w:rPr>
          <w:lang w:val="en-GB"/>
        </w:rPr>
        <w:t xml:space="preserve"> of real value added in this sector in 2020 in the fund scenario exceeds that in the no-fund scenario by 58%). The estimated negative impact indicates that the </w:t>
      </w:r>
      <w:r w:rsidRPr="00D31979">
        <w:rPr>
          <w:i/>
          <w:lang w:val="en-GB"/>
        </w:rPr>
        <w:t>growth</w:t>
      </w:r>
      <w:r w:rsidRPr="00D31979">
        <w:rPr>
          <w:lang w:val="en-GB"/>
        </w:rPr>
        <w:t xml:space="preserve"> of the value added in the fund scenario in this period lags behind that in the no-fund scenario, which is due to the fact that </w:t>
      </w:r>
      <w:r w:rsidR="00577861">
        <w:rPr>
          <w:lang w:val="en-GB"/>
        </w:rPr>
        <w:t>at</w:t>
      </w:r>
      <w:r w:rsidR="00577861" w:rsidRPr="00D31979">
        <w:rPr>
          <w:lang w:val="en-GB"/>
        </w:rPr>
        <w:t xml:space="preserve"> the</w:t>
      </w:r>
      <w:r w:rsidRPr="00D31979">
        <w:rPr>
          <w:lang w:val="en-GB"/>
        </w:rPr>
        <w:t xml:space="preserve"> end of the evaluation period growth of deflators in other sectors in the fund scenario exceeds growth of deflators in other sectors, which slows down growth of value added in agriculture. </w:t>
      </w:r>
    </w:p>
    <w:p w:rsidR="00D31979" w:rsidRPr="00D31979" w:rsidRDefault="00D31979" w:rsidP="00D31979">
      <w:pPr>
        <w:keepNext/>
        <w:spacing w:after="0"/>
        <w:rPr>
          <w:b/>
          <w:lang w:val="en-GB"/>
        </w:rPr>
      </w:pPr>
      <w:r w:rsidRPr="00D31979">
        <w:rPr>
          <w:b/>
          <w:lang w:val="en-GB"/>
        </w:rPr>
        <w:t xml:space="preserve">Figure 3.2: </w:t>
      </w:r>
      <w:r>
        <w:rPr>
          <w:b/>
          <w:lang w:val="en-GB"/>
        </w:rPr>
        <w:t>Impact of the funds on real value added by sector in 2002</w:t>
      </w:r>
      <w:r w:rsidRPr="00D31979">
        <w:rPr>
          <w:b/>
          <w:lang w:val="en-GB"/>
        </w:rPr>
        <w:t xml:space="preserve"> – 2020, </w:t>
      </w:r>
      <w:r>
        <w:rPr>
          <w:b/>
          <w:lang w:val="en-GB"/>
        </w:rPr>
        <w:t>assuming 30% crowding out</w:t>
      </w:r>
      <w:r w:rsidRPr="00D31979">
        <w:rPr>
          <w:b/>
          <w:lang w:val="en-GB"/>
        </w:rPr>
        <w:t>, %*</w:t>
      </w:r>
    </w:p>
    <w:p w:rsidR="00D31979" w:rsidRPr="00D31979" w:rsidRDefault="00D31979" w:rsidP="00D31979">
      <w:pPr>
        <w:spacing w:after="0"/>
        <w:rPr>
          <w:lang w:val="en-GB"/>
        </w:rPr>
      </w:pPr>
      <w:r>
        <w:rPr>
          <w:noProof/>
          <w:lang w:val="lv-LV" w:eastAsia="lv-LV"/>
        </w:rPr>
        <w:drawing>
          <wp:inline distT="0" distB="0" distL="0" distR="0" wp14:anchorId="03E18A4C" wp14:editId="7E834213">
            <wp:extent cx="3877056" cy="234086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877056" cy="2340864"/>
                    </a:xfrm>
                    <a:prstGeom prst="rect">
                      <a:avLst/>
                    </a:prstGeom>
                    <a:noFill/>
                  </pic:spPr>
                </pic:pic>
              </a:graphicData>
            </a:graphic>
          </wp:inline>
        </w:drawing>
      </w:r>
    </w:p>
    <w:p w:rsidR="008F7A16" w:rsidRPr="00D31979" w:rsidRDefault="008F7A16" w:rsidP="008F7A16">
      <w:pPr>
        <w:spacing w:after="0"/>
        <w:rPr>
          <w:i/>
          <w:sz w:val="20"/>
          <w:szCs w:val="20"/>
          <w:lang w:val="en-GB"/>
        </w:rPr>
      </w:pPr>
      <w:r w:rsidRPr="00D31979">
        <w:rPr>
          <w:i/>
          <w:sz w:val="20"/>
          <w:szCs w:val="20"/>
          <w:lang w:val="en-GB"/>
        </w:rPr>
        <w:t xml:space="preserve">* The impact calculated according to formula (3.3). </w:t>
      </w:r>
      <w:r w:rsidRPr="008F7A16">
        <w:rPr>
          <w:i/>
          <w:sz w:val="20"/>
          <w:szCs w:val="20"/>
          <w:lang w:val="en-GB"/>
        </w:rPr>
        <w:t xml:space="preserve">All analysed financial instruments are included. </w:t>
      </w:r>
      <w:r w:rsidRPr="00D31979">
        <w:rPr>
          <w:i/>
          <w:sz w:val="20"/>
          <w:szCs w:val="20"/>
          <w:lang w:val="en-GB"/>
        </w:rPr>
        <w:t>The fund investment included in the calculations comprise</w:t>
      </w:r>
      <w:r>
        <w:rPr>
          <w:i/>
          <w:sz w:val="20"/>
          <w:szCs w:val="20"/>
          <w:lang w:val="en-GB"/>
        </w:rPr>
        <w:t>s</w:t>
      </w:r>
      <w:r w:rsidRPr="00D31979">
        <w:rPr>
          <w:i/>
          <w:sz w:val="20"/>
          <w:szCs w:val="20"/>
          <w:lang w:val="en-GB"/>
        </w:rPr>
        <w:t xml:space="preserve"> the </w:t>
      </w:r>
      <w:r>
        <w:rPr>
          <w:i/>
          <w:sz w:val="20"/>
          <w:szCs w:val="20"/>
          <w:lang w:val="en-GB"/>
        </w:rPr>
        <w:t>fund</w:t>
      </w:r>
      <w:r w:rsidRPr="00D31979">
        <w:rPr>
          <w:i/>
          <w:sz w:val="20"/>
          <w:szCs w:val="20"/>
          <w:lang w:val="en-GB"/>
        </w:rPr>
        <w:t xml:space="preserve"> financing, national public and private co-financing.</w:t>
      </w:r>
    </w:p>
    <w:p w:rsidR="00D31979" w:rsidRPr="00D31979" w:rsidRDefault="00D31979" w:rsidP="00D31979">
      <w:pPr>
        <w:spacing w:after="120"/>
        <w:rPr>
          <w:i/>
          <w:sz w:val="20"/>
          <w:szCs w:val="20"/>
          <w:lang w:val="en-GB"/>
        </w:rPr>
      </w:pPr>
      <w:r w:rsidRPr="00D31979">
        <w:rPr>
          <w:i/>
          <w:sz w:val="20"/>
          <w:szCs w:val="20"/>
          <w:lang w:val="en-GB"/>
        </w:rPr>
        <w:t>Source: authors’ calculations</w:t>
      </w:r>
    </w:p>
    <w:p w:rsidR="00DB6297" w:rsidRDefault="00D31979">
      <w:pPr>
        <w:rPr>
          <w:lang w:val="en-GB"/>
        </w:rPr>
      </w:pPr>
      <w:r>
        <w:rPr>
          <w:lang w:val="en-GB"/>
        </w:rPr>
        <w:t xml:space="preserve">On the demand side (see Fig 3.3) </w:t>
      </w:r>
      <w:r w:rsidR="002D6072">
        <w:rPr>
          <w:lang w:val="en-GB"/>
        </w:rPr>
        <w:t xml:space="preserve">we estimate that the funds generate the strongest impact on private consumption (4.0% on average), being stimulated by an increase in real disposable income. Also, the funds have a strong positive impact on investment (4.0% on average). It should be noted that the estimated impact on investment in 2011 and 2012 is negative, which has an explanation similar to the explanation of the negative impact on agriculture above. The negative impact does not imply a lower </w:t>
      </w:r>
      <w:r w:rsidR="002D6072" w:rsidRPr="002D6072">
        <w:rPr>
          <w:i/>
          <w:lang w:val="en-GB"/>
        </w:rPr>
        <w:t>level</w:t>
      </w:r>
      <w:r w:rsidR="002D6072">
        <w:rPr>
          <w:lang w:val="en-GB"/>
        </w:rPr>
        <w:t xml:space="preserve"> of investment in these years (in 2011, the level of investment in the funds scenario is 85% above the no-scenario baseline, but in 2012 – 76% above). The estimated negative impact implies a slowdown in </w:t>
      </w:r>
      <w:r w:rsidR="002D6072" w:rsidRPr="002D6072">
        <w:rPr>
          <w:i/>
          <w:lang w:val="en-GB"/>
        </w:rPr>
        <w:t>growth</w:t>
      </w:r>
      <w:r w:rsidR="002D6072">
        <w:rPr>
          <w:lang w:val="en-GB"/>
        </w:rPr>
        <w:t xml:space="preserve"> of investment caused by the funds, which is due to a very high growth base: according to our estimation, in 2010 the funds boosted investment by 27%, </w:t>
      </w:r>
      <w:r w:rsidR="00672F20">
        <w:rPr>
          <w:lang w:val="en-GB"/>
        </w:rPr>
        <w:t xml:space="preserve">being caused by </w:t>
      </w:r>
      <w:r w:rsidR="002D6072">
        <w:rPr>
          <w:lang w:val="en-GB"/>
        </w:rPr>
        <w:t>a sharp increase in the funds inflow in 2010</w:t>
      </w:r>
      <w:r w:rsidR="00672F20">
        <w:rPr>
          <w:lang w:val="en-GB"/>
        </w:rPr>
        <w:t xml:space="preserve"> (up by 56%), which generated a strong demand</w:t>
      </w:r>
      <w:r w:rsidR="0064125D">
        <w:rPr>
          <w:lang w:val="en-GB"/>
        </w:rPr>
        <w:t>-side effect.</w:t>
      </w:r>
    </w:p>
    <w:p w:rsidR="0064125D" w:rsidRDefault="0064125D">
      <w:pPr>
        <w:rPr>
          <w:lang w:val="en-GB"/>
        </w:rPr>
      </w:pPr>
      <w:r>
        <w:rPr>
          <w:lang w:val="en-GB"/>
        </w:rPr>
        <w:lastRenderedPageBreak/>
        <w:t xml:space="preserve">The impact on exports is quite modest (0.2% on average), which is </w:t>
      </w:r>
      <w:r w:rsidR="00E65A73">
        <w:rPr>
          <w:lang w:val="en-GB"/>
        </w:rPr>
        <w:t xml:space="preserve">due to the fact that apart from raising productivity the fund strongly contribute to the growth of real wages. </w:t>
      </w:r>
      <w:r w:rsidR="00187217">
        <w:rPr>
          <w:lang w:val="en-GB"/>
        </w:rPr>
        <w:t>While the impact on imports is much stronger (3.9% per annum on average), being boosted by a strong increase in both private consumption and investment.</w:t>
      </w:r>
    </w:p>
    <w:p w:rsidR="00AA322F" w:rsidRPr="00AA322F" w:rsidRDefault="00AA322F" w:rsidP="00AA322F">
      <w:pPr>
        <w:keepNext/>
        <w:spacing w:after="0"/>
        <w:rPr>
          <w:b/>
          <w:lang w:val="en-GB"/>
        </w:rPr>
      </w:pPr>
      <w:r>
        <w:rPr>
          <w:b/>
          <w:lang w:val="en-GB"/>
        </w:rPr>
        <w:t xml:space="preserve">Figure </w:t>
      </w:r>
      <w:r w:rsidRPr="00AA322F">
        <w:rPr>
          <w:b/>
          <w:lang w:val="en-GB"/>
        </w:rPr>
        <w:t xml:space="preserve">3.3: </w:t>
      </w:r>
      <w:r>
        <w:rPr>
          <w:b/>
          <w:lang w:val="en-GB"/>
        </w:rPr>
        <w:t>Impact of the funds on real GDP by expenditure categories in 2002-2020, assuming 30% crowding out</w:t>
      </w:r>
      <w:r w:rsidRPr="00AA322F">
        <w:rPr>
          <w:b/>
          <w:lang w:val="en-GB"/>
        </w:rPr>
        <w:t>, %*</w:t>
      </w:r>
    </w:p>
    <w:p w:rsidR="00AA322F" w:rsidRPr="00AA322F" w:rsidRDefault="00AA322F" w:rsidP="00AA322F">
      <w:pPr>
        <w:spacing w:after="0"/>
        <w:rPr>
          <w:lang w:val="en-GB"/>
        </w:rPr>
      </w:pPr>
      <w:r>
        <w:rPr>
          <w:noProof/>
          <w:lang w:val="lv-LV" w:eastAsia="lv-LV"/>
        </w:rPr>
        <w:drawing>
          <wp:inline distT="0" distB="0" distL="0" distR="0" wp14:anchorId="0C8AC326" wp14:editId="426D4007">
            <wp:extent cx="3877056" cy="23408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877056" cy="2340864"/>
                    </a:xfrm>
                    <a:prstGeom prst="rect">
                      <a:avLst/>
                    </a:prstGeom>
                    <a:noFill/>
                  </pic:spPr>
                </pic:pic>
              </a:graphicData>
            </a:graphic>
          </wp:inline>
        </w:drawing>
      </w:r>
    </w:p>
    <w:p w:rsidR="001301E5" w:rsidRPr="00D31979" w:rsidRDefault="001301E5" w:rsidP="001301E5">
      <w:pPr>
        <w:spacing w:after="0"/>
        <w:rPr>
          <w:i/>
          <w:sz w:val="20"/>
          <w:szCs w:val="20"/>
          <w:lang w:val="en-GB"/>
        </w:rPr>
      </w:pPr>
      <w:r w:rsidRPr="00D31979">
        <w:rPr>
          <w:i/>
          <w:sz w:val="20"/>
          <w:szCs w:val="20"/>
          <w:lang w:val="en-GB"/>
        </w:rPr>
        <w:t xml:space="preserve">* The impact calculated according to formula (3.3). </w:t>
      </w:r>
      <w:r w:rsidRPr="008F7A16">
        <w:rPr>
          <w:i/>
          <w:sz w:val="20"/>
          <w:szCs w:val="20"/>
          <w:lang w:val="en-GB"/>
        </w:rPr>
        <w:t xml:space="preserve">All analysed financial instruments are included. </w:t>
      </w:r>
      <w:r w:rsidRPr="00D31979">
        <w:rPr>
          <w:i/>
          <w:sz w:val="20"/>
          <w:szCs w:val="20"/>
          <w:lang w:val="en-GB"/>
        </w:rPr>
        <w:t>The fund investment included in the calculations comprise</w:t>
      </w:r>
      <w:r>
        <w:rPr>
          <w:i/>
          <w:sz w:val="20"/>
          <w:szCs w:val="20"/>
          <w:lang w:val="en-GB"/>
        </w:rPr>
        <w:t>s</w:t>
      </w:r>
      <w:r w:rsidRPr="00D31979">
        <w:rPr>
          <w:i/>
          <w:sz w:val="20"/>
          <w:szCs w:val="20"/>
          <w:lang w:val="en-GB"/>
        </w:rPr>
        <w:t xml:space="preserve"> the </w:t>
      </w:r>
      <w:r>
        <w:rPr>
          <w:i/>
          <w:sz w:val="20"/>
          <w:szCs w:val="20"/>
          <w:lang w:val="en-GB"/>
        </w:rPr>
        <w:t>fund</w:t>
      </w:r>
      <w:r w:rsidRPr="00D31979">
        <w:rPr>
          <w:i/>
          <w:sz w:val="20"/>
          <w:szCs w:val="20"/>
          <w:lang w:val="en-GB"/>
        </w:rPr>
        <w:t xml:space="preserve"> financing, national public and private co-financing.</w:t>
      </w:r>
    </w:p>
    <w:p w:rsidR="00AA322F" w:rsidRPr="00D31979" w:rsidRDefault="00AA322F" w:rsidP="00AA322F">
      <w:pPr>
        <w:spacing w:after="120"/>
        <w:rPr>
          <w:i/>
          <w:sz w:val="20"/>
          <w:szCs w:val="20"/>
          <w:lang w:val="en-GB"/>
        </w:rPr>
      </w:pPr>
      <w:r w:rsidRPr="00D31979">
        <w:rPr>
          <w:i/>
          <w:sz w:val="20"/>
          <w:szCs w:val="20"/>
          <w:lang w:val="en-GB"/>
        </w:rPr>
        <w:t>Source: authors’ calculations</w:t>
      </w:r>
    </w:p>
    <w:p w:rsidR="0064125D" w:rsidRPr="00AA322F" w:rsidRDefault="00A8739E">
      <w:pPr>
        <w:rPr>
          <w:lang w:val="en-GB"/>
        </w:rPr>
      </w:pPr>
      <w:r>
        <w:rPr>
          <w:lang w:val="en-GB"/>
        </w:rPr>
        <w:t>The impact of the funds on the labour market (see Fig 3.4) show</w:t>
      </w:r>
      <w:r w:rsidR="003D2708">
        <w:rPr>
          <w:lang w:val="en-GB"/>
        </w:rPr>
        <w:t>s</w:t>
      </w:r>
      <w:r>
        <w:rPr>
          <w:lang w:val="en-GB"/>
        </w:rPr>
        <w:t xml:space="preserve"> itself in relatively moderate increase in employment (1.0% per annum on average), while the increase in productivity is much stronger (2.9% on average). The funds contribute to a reduction in unemployment, by 0.8 percentage points per annum on average. Estimated average annual increase in nominal and real wages amounts to 4.7% and 3.6%, respectively, </w:t>
      </w:r>
      <w:r w:rsidR="0035241B">
        <w:rPr>
          <w:lang w:val="en-GB"/>
        </w:rPr>
        <w:t xml:space="preserve">while the maximum impact on wages (around 10%) is estimated in 2010, when there was a strong increase in the inflow of the funds; thus the strong increase in wages reflect the demand side effect. </w:t>
      </w:r>
    </w:p>
    <w:p w:rsidR="00F674C5" w:rsidRPr="00F674C5" w:rsidRDefault="00F674C5" w:rsidP="00F674C5">
      <w:pPr>
        <w:keepNext/>
        <w:spacing w:after="0"/>
        <w:rPr>
          <w:b/>
          <w:lang w:val="en-GB"/>
        </w:rPr>
      </w:pPr>
      <w:r>
        <w:rPr>
          <w:b/>
          <w:lang w:val="en-GB"/>
        </w:rPr>
        <w:t xml:space="preserve">Figure </w:t>
      </w:r>
      <w:r w:rsidRPr="00F674C5">
        <w:rPr>
          <w:b/>
          <w:lang w:val="en-GB"/>
        </w:rPr>
        <w:t xml:space="preserve">3.4: </w:t>
      </w:r>
      <w:r>
        <w:rPr>
          <w:b/>
          <w:lang w:val="en-GB"/>
        </w:rPr>
        <w:t>Impact of the funds on nominal and real average wage (%), employment and labour productivity (%) and unemployment rate (percentage points) in 2002-2020, assuming 30% crowding out</w:t>
      </w:r>
      <w:r w:rsidRPr="00F674C5">
        <w:rPr>
          <w:b/>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F674C5" w:rsidRPr="00F674C5" w:rsidTr="007F0DFD">
        <w:tc>
          <w:tcPr>
            <w:tcW w:w="4621" w:type="dxa"/>
          </w:tcPr>
          <w:p w:rsidR="00F674C5" w:rsidRPr="00F674C5" w:rsidRDefault="00F674C5" w:rsidP="007F0DFD">
            <w:pPr>
              <w:rPr>
                <w:lang w:val="en-GB"/>
              </w:rPr>
            </w:pPr>
            <w:r>
              <w:rPr>
                <w:noProof/>
                <w:lang w:val="lv-LV" w:eastAsia="lv-LV"/>
              </w:rPr>
              <w:drawing>
                <wp:inline distT="0" distB="0" distL="0" distR="0" wp14:anchorId="22BFC479" wp14:editId="31E12575">
                  <wp:extent cx="2779776" cy="1655064"/>
                  <wp:effectExtent l="0" t="0" r="190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79776" cy="1655064"/>
                          </a:xfrm>
                          <a:prstGeom prst="rect">
                            <a:avLst/>
                          </a:prstGeom>
                          <a:noFill/>
                        </pic:spPr>
                      </pic:pic>
                    </a:graphicData>
                  </a:graphic>
                </wp:inline>
              </w:drawing>
            </w:r>
          </w:p>
        </w:tc>
        <w:tc>
          <w:tcPr>
            <w:tcW w:w="4622" w:type="dxa"/>
          </w:tcPr>
          <w:p w:rsidR="00F674C5" w:rsidRPr="00F674C5" w:rsidRDefault="00F674C5" w:rsidP="007F0DFD">
            <w:pPr>
              <w:rPr>
                <w:lang w:val="en-GB"/>
              </w:rPr>
            </w:pPr>
            <w:r>
              <w:rPr>
                <w:noProof/>
                <w:lang w:val="lv-LV" w:eastAsia="lv-LV"/>
              </w:rPr>
              <w:drawing>
                <wp:inline distT="0" distB="0" distL="0" distR="0" wp14:anchorId="2566C8A1" wp14:editId="732B9B22">
                  <wp:extent cx="2743200" cy="16550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43200" cy="1655064"/>
                          </a:xfrm>
                          <a:prstGeom prst="rect">
                            <a:avLst/>
                          </a:prstGeom>
                          <a:noFill/>
                        </pic:spPr>
                      </pic:pic>
                    </a:graphicData>
                  </a:graphic>
                </wp:inline>
              </w:drawing>
            </w:r>
          </w:p>
        </w:tc>
      </w:tr>
    </w:tbl>
    <w:p w:rsidR="00970AC6" w:rsidRDefault="00EF0777" w:rsidP="00F674C5">
      <w:pPr>
        <w:spacing w:after="120"/>
        <w:rPr>
          <w:i/>
          <w:sz w:val="20"/>
          <w:szCs w:val="20"/>
          <w:lang w:val="en-GB"/>
        </w:rPr>
      </w:pPr>
      <w:r w:rsidRPr="00EF0777">
        <w:rPr>
          <w:i/>
          <w:sz w:val="20"/>
          <w:szCs w:val="20"/>
          <w:lang w:val="en-GB"/>
        </w:rPr>
        <w:t>* The impact calculated according to formula (3.3). All analysed financial instruments are included. The fund investment included in the calculations comprises the fund financing, national public and private co-financing.</w:t>
      </w:r>
    </w:p>
    <w:p w:rsidR="00F674C5" w:rsidRPr="00D31979" w:rsidRDefault="00F674C5" w:rsidP="00F674C5">
      <w:pPr>
        <w:spacing w:after="120"/>
        <w:rPr>
          <w:i/>
          <w:sz w:val="20"/>
          <w:szCs w:val="20"/>
          <w:lang w:val="en-GB"/>
        </w:rPr>
      </w:pPr>
      <w:r w:rsidRPr="00D31979">
        <w:rPr>
          <w:i/>
          <w:sz w:val="20"/>
          <w:szCs w:val="20"/>
          <w:lang w:val="en-GB"/>
        </w:rPr>
        <w:t>Source: authors’ calculations</w:t>
      </w:r>
    </w:p>
    <w:p w:rsidR="00AA322F" w:rsidRDefault="00F674C5">
      <w:pPr>
        <w:rPr>
          <w:lang w:val="en-GB"/>
        </w:rPr>
      </w:pPr>
      <w:r>
        <w:rPr>
          <w:lang w:val="en-GB"/>
        </w:rPr>
        <w:lastRenderedPageBreak/>
        <w:t xml:space="preserve">The fund inflow is estimated to have a strong positive impact on budget tax and non-tax revenues (2.4% on average, see Fig 3.5). </w:t>
      </w:r>
      <w:r w:rsidR="00577861">
        <w:rPr>
          <w:lang w:val="en-GB"/>
        </w:rPr>
        <w:t xml:space="preserve">The estimated impact on consumer price index (CPI) is 1.1% per annum on average, while the maximum inflation impact (reaching 2.5%) is expected in 2012. </w:t>
      </w:r>
    </w:p>
    <w:p w:rsidR="00E93F91" w:rsidRPr="00E93F91" w:rsidRDefault="00E93F91" w:rsidP="00E93F91">
      <w:pPr>
        <w:keepNext/>
        <w:spacing w:after="0"/>
        <w:rPr>
          <w:b/>
          <w:lang w:val="en-GB"/>
        </w:rPr>
      </w:pPr>
      <w:r>
        <w:rPr>
          <w:b/>
          <w:lang w:val="en-GB"/>
        </w:rPr>
        <w:t xml:space="preserve">Figure </w:t>
      </w:r>
      <w:r w:rsidRPr="00E93F91">
        <w:rPr>
          <w:b/>
          <w:lang w:val="en-GB"/>
        </w:rPr>
        <w:t xml:space="preserve">3.5: </w:t>
      </w:r>
      <w:r>
        <w:rPr>
          <w:b/>
          <w:lang w:val="en-GB"/>
        </w:rPr>
        <w:t xml:space="preserve">Impact of the funds on budget tax and non-tax revenues and on consumer price index in 2002-2020, assuming 30% crowding out, </w:t>
      </w:r>
      <w:r w:rsidRPr="00E93F91">
        <w:rPr>
          <w:b/>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E93F91" w:rsidRPr="00E93F91" w:rsidTr="007F0DFD">
        <w:tc>
          <w:tcPr>
            <w:tcW w:w="4621" w:type="dxa"/>
          </w:tcPr>
          <w:p w:rsidR="00E93F91" w:rsidRPr="00E93F91" w:rsidRDefault="00E93F91" w:rsidP="007F0DFD">
            <w:pPr>
              <w:rPr>
                <w:lang w:val="en-GB"/>
              </w:rPr>
            </w:pPr>
            <w:r>
              <w:rPr>
                <w:noProof/>
                <w:lang w:val="lv-LV" w:eastAsia="lv-LV"/>
              </w:rPr>
              <w:drawing>
                <wp:inline distT="0" distB="0" distL="0" distR="0" wp14:anchorId="6E36D191" wp14:editId="48129898">
                  <wp:extent cx="2779776" cy="1655064"/>
                  <wp:effectExtent l="0" t="0" r="190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779776" cy="1655064"/>
                          </a:xfrm>
                          <a:prstGeom prst="rect">
                            <a:avLst/>
                          </a:prstGeom>
                          <a:noFill/>
                        </pic:spPr>
                      </pic:pic>
                    </a:graphicData>
                  </a:graphic>
                </wp:inline>
              </w:drawing>
            </w:r>
          </w:p>
        </w:tc>
        <w:tc>
          <w:tcPr>
            <w:tcW w:w="4622" w:type="dxa"/>
          </w:tcPr>
          <w:p w:rsidR="00E93F91" w:rsidRPr="00E93F91" w:rsidRDefault="00E93F91" w:rsidP="007F0DFD">
            <w:pPr>
              <w:rPr>
                <w:lang w:val="en-GB"/>
              </w:rPr>
            </w:pPr>
            <w:r>
              <w:rPr>
                <w:noProof/>
                <w:lang w:val="lv-LV" w:eastAsia="lv-LV"/>
              </w:rPr>
              <w:drawing>
                <wp:inline distT="0" distB="0" distL="0" distR="0" wp14:anchorId="0C74CEDF" wp14:editId="7830F7B5">
                  <wp:extent cx="2752344" cy="1655064"/>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52344" cy="1655064"/>
                          </a:xfrm>
                          <a:prstGeom prst="rect">
                            <a:avLst/>
                          </a:prstGeom>
                          <a:noFill/>
                        </pic:spPr>
                      </pic:pic>
                    </a:graphicData>
                  </a:graphic>
                </wp:inline>
              </w:drawing>
            </w:r>
          </w:p>
        </w:tc>
      </w:tr>
    </w:tbl>
    <w:p w:rsidR="00EF0777" w:rsidRPr="00D31979" w:rsidRDefault="00EF0777" w:rsidP="00EF0777">
      <w:pPr>
        <w:spacing w:after="0"/>
        <w:rPr>
          <w:i/>
          <w:sz w:val="20"/>
          <w:szCs w:val="20"/>
          <w:lang w:val="en-GB"/>
        </w:rPr>
      </w:pPr>
      <w:r w:rsidRPr="00D31979">
        <w:rPr>
          <w:i/>
          <w:sz w:val="20"/>
          <w:szCs w:val="20"/>
          <w:lang w:val="en-GB"/>
        </w:rPr>
        <w:t xml:space="preserve">* The impact calculated according to formula (3.3). </w:t>
      </w:r>
      <w:r w:rsidRPr="008F7A16">
        <w:rPr>
          <w:i/>
          <w:sz w:val="20"/>
          <w:szCs w:val="20"/>
          <w:lang w:val="en-GB"/>
        </w:rPr>
        <w:t xml:space="preserve">All analysed financial instruments are included. </w:t>
      </w:r>
      <w:r w:rsidRPr="00D31979">
        <w:rPr>
          <w:i/>
          <w:sz w:val="20"/>
          <w:szCs w:val="20"/>
          <w:lang w:val="en-GB"/>
        </w:rPr>
        <w:t>The fund investment included in the calculations comprise</w:t>
      </w:r>
      <w:r>
        <w:rPr>
          <w:i/>
          <w:sz w:val="20"/>
          <w:szCs w:val="20"/>
          <w:lang w:val="en-GB"/>
        </w:rPr>
        <w:t>s</w:t>
      </w:r>
      <w:r w:rsidRPr="00D31979">
        <w:rPr>
          <w:i/>
          <w:sz w:val="20"/>
          <w:szCs w:val="20"/>
          <w:lang w:val="en-GB"/>
        </w:rPr>
        <w:t xml:space="preserve"> the </w:t>
      </w:r>
      <w:r>
        <w:rPr>
          <w:i/>
          <w:sz w:val="20"/>
          <w:szCs w:val="20"/>
          <w:lang w:val="en-GB"/>
        </w:rPr>
        <w:t>fund</w:t>
      </w:r>
      <w:r w:rsidRPr="00D31979">
        <w:rPr>
          <w:i/>
          <w:sz w:val="20"/>
          <w:szCs w:val="20"/>
          <w:lang w:val="en-GB"/>
        </w:rPr>
        <w:t xml:space="preserve"> financing, national public and private co-financing.</w:t>
      </w:r>
    </w:p>
    <w:p w:rsidR="00E93F91" w:rsidRPr="00D31979" w:rsidRDefault="00E93F91" w:rsidP="00E93F91">
      <w:pPr>
        <w:spacing w:after="120"/>
        <w:rPr>
          <w:i/>
          <w:sz w:val="20"/>
          <w:szCs w:val="20"/>
          <w:lang w:val="en-GB"/>
        </w:rPr>
      </w:pPr>
      <w:r w:rsidRPr="00D31979">
        <w:rPr>
          <w:i/>
          <w:sz w:val="20"/>
          <w:szCs w:val="20"/>
          <w:lang w:val="en-GB"/>
        </w:rPr>
        <w:t>Source: authors’ calculations</w:t>
      </w:r>
    </w:p>
    <w:p w:rsidR="006B6150" w:rsidRPr="00D31979" w:rsidRDefault="0017303A" w:rsidP="006B6150">
      <w:pPr>
        <w:pStyle w:val="Heading2"/>
        <w:rPr>
          <w:lang w:val="en-GB"/>
        </w:rPr>
      </w:pPr>
      <w:bookmarkStart w:id="10" w:name="_Toc312172608"/>
      <w:r w:rsidRPr="00D31979">
        <w:rPr>
          <w:lang w:val="en-GB"/>
        </w:rPr>
        <w:t xml:space="preserve">The impact of funds by </w:t>
      </w:r>
      <w:r w:rsidR="007065DA" w:rsidRPr="00D31979">
        <w:rPr>
          <w:lang w:val="en-GB"/>
        </w:rPr>
        <w:t>priority</w:t>
      </w:r>
      <w:bookmarkEnd w:id="10"/>
    </w:p>
    <w:p w:rsidR="00E93F91" w:rsidRDefault="000E19AA" w:rsidP="00E3169C">
      <w:pPr>
        <w:rPr>
          <w:lang w:val="en-GB"/>
        </w:rPr>
      </w:pPr>
      <w:r>
        <w:rPr>
          <w:lang w:val="en-GB"/>
        </w:rPr>
        <w:t xml:space="preserve">In order to be able to use the fund data in a macro model, </w:t>
      </w:r>
      <w:r w:rsidR="007F0DFD">
        <w:rPr>
          <w:lang w:val="en-GB"/>
        </w:rPr>
        <w:t>the data</w:t>
      </w:r>
      <w:r>
        <w:rPr>
          <w:lang w:val="en-GB"/>
        </w:rPr>
        <w:t xml:space="preserve"> should be aggregated to macroeconomic variables. Macroeconomic modelling does not allow taking into account uniqueness of each project. In this study we as far as possible took into account the fact that investments are different by distinguishing between four types of investment (infrastructure, technology, human capital and physical capital), as well as by allocating the investments to one of the five sectors of the economy. Yet there is no doubt that even at this disaggregated level we have to make quite strong assumptions that investments attributed to a particular category have identical impact on macroeconomic variables. For example, investment in infrastructure includes both investments in physical and social infrastructure. Different kinds of training are pooled into one category. The aggregation of the fund data enables us to apply macroeconomic modelling to estimate the impact of the funds, yet </w:t>
      </w:r>
      <w:r w:rsidR="007F0DFD">
        <w:rPr>
          <w:lang w:val="en-GB"/>
        </w:rPr>
        <w:t xml:space="preserve">this entails certain costs – namely, unavoidable loss of fund differentiation. This has to be kept in mind while interpreting the modelling results, especially when interpreting the impacts by investment priorities. </w:t>
      </w:r>
    </w:p>
    <w:p w:rsidR="007F0DFD" w:rsidRDefault="007F0DFD" w:rsidP="00E3169C">
      <w:pPr>
        <w:rPr>
          <w:lang w:val="en-GB"/>
        </w:rPr>
      </w:pPr>
      <w:r>
        <w:rPr>
          <w:lang w:val="en-GB"/>
        </w:rPr>
        <w:t xml:space="preserve">The impact of a particular priority is obtained by comparing </w:t>
      </w:r>
      <w:r w:rsidR="003D2708">
        <w:rPr>
          <w:lang w:val="en-GB"/>
        </w:rPr>
        <w:t xml:space="preserve">the </w:t>
      </w:r>
      <w:r>
        <w:rPr>
          <w:lang w:val="en-GB"/>
        </w:rPr>
        <w:t>scenario which includes all funds with a scenario where the investments</w:t>
      </w:r>
      <w:r w:rsidR="003D2708">
        <w:rPr>
          <w:lang w:val="en-GB"/>
        </w:rPr>
        <w:t xml:space="preserve"> </w:t>
      </w:r>
      <w:r w:rsidR="00577861">
        <w:rPr>
          <w:lang w:val="en-GB"/>
        </w:rPr>
        <w:t>attributed to this priority</w:t>
      </w:r>
      <w:r>
        <w:rPr>
          <w:lang w:val="en-GB"/>
        </w:rPr>
        <w:t xml:space="preserve"> are </w:t>
      </w:r>
      <w:r w:rsidR="003D2708">
        <w:rPr>
          <w:lang w:val="en-GB"/>
        </w:rPr>
        <w:t>excluded</w:t>
      </w:r>
      <w:r>
        <w:rPr>
          <w:lang w:val="en-GB"/>
        </w:rPr>
        <w:t>. For example, in 2004-2006 planning period, the impact of technical assistance is estimated by comparing the following model simulations: (i) a simulation with all funds included and (ii) simulation with all funds except the technical assistance included. The difference between the two represents the estimated impact of the technical assistance.</w:t>
      </w:r>
    </w:p>
    <w:p w:rsidR="00E93F91" w:rsidRPr="007F0DFD" w:rsidRDefault="007F0DFD" w:rsidP="00E3169C">
      <w:pPr>
        <w:rPr>
          <w:lang w:val="en-GB"/>
        </w:rPr>
      </w:pPr>
      <w:r w:rsidRPr="007F0DFD">
        <w:rPr>
          <w:lang w:val="en-GB"/>
        </w:rPr>
        <w:t xml:space="preserve">Table 3.2 summarizes the </w:t>
      </w:r>
      <w:r>
        <w:rPr>
          <w:lang w:val="en-GB"/>
        </w:rPr>
        <w:t>calculated policy multipliers and returns to one invested lat in the 2004-2006 planning period by priority, assuming 30% crowding out.</w:t>
      </w:r>
    </w:p>
    <w:p w:rsidR="007F0DFD" w:rsidRPr="007F0DFD" w:rsidRDefault="007F0DFD" w:rsidP="007F0DFD">
      <w:pPr>
        <w:keepNext/>
        <w:keepLines/>
        <w:widowControl w:val="0"/>
        <w:spacing w:after="0"/>
        <w:rPr>
          <w:b/>
          <w:lang w:val="en-GB"/>
        </w:rPr>
      </w:pPr>
      <w:r>
        <w:rPr>
          <w:b/>
          <w:lang w:val="en-GB"/>
        </w:rPr>
        <w:lastRenderedPageBreak/>
        <w:t xml:space="preserve">Table </w:t>
      </w:r>
      <w:r w:rsidRPr="007F0DFD">
        <w:rPr>
          <w:b/>
          <w:lang w:val="en-GB"/>
        </w:rPr>
        <w:t xml:space="preserve">3.2: </w:t>
      </w:r>
      <w:r w:rsidR="004E78EE">
        <w:rPr>
          <w:b/>
          <w:lang w:val="en-GB"/>
        </w:rPr>
        <w:t xml:space="preserve">Return on </w:t>
      </w:r>
      <w:r w:rsidR="00571C8B">
        <w:rPr>
          <w:b/>
          <w:lang w:val="en-GB"/>
        </w:rPr>
        <w:t>fund</w:t>
      </w:r>
      <w:r w:rsidR="00A15BB7">
        <w:rPr>
          <w:b/>
          <w:lang w:val="en-GB"/>
        </w:rPr>
        <w:t xml:space="preserve"> investment by priority in the 2004-2006 planning period (assuming 30% crowding out)</w:t>
      </w:r>
      <w:r w:rsidR="00A15BB7" w:rsidRPr="007F0DFD">
        <w:rPr>
          <w:b/>
          <w:lang w:val="en-GB"/>
        </w:rPr>
        <w:t xml:space="preserve"> </w:t>
      </w:r>
      <w:r w:rsidRPr="007F0DFD">
        <w:rPr>
          <w:b/>
          <w:lang w:val="en-GB"/>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14"/>
        <w:gridCol w:w="1540"/>
        <w:gridCol w:w="1747"/>
        <w:gridCol w:w="1638"/>
        <w:gridCol w:w="1604"/>
      </w:tblGrid>
      <w:tr w:rsidR="007F0DFD" w:rsidRPr="007F0DFD" w:rsidTr="007F0DFD">
        <w:tc>
          <w:tcPr>
            <w:tcW w:w="2714" w:type="dxa"/>
          </w:tcPr>
          <w:p w:rsidR="007F0DFD" w:rsidRPr="007F0DFD" w:rsidRDefault="007F0DFD" w:rsidP="007F0DFD">
            <w:pPr>
              <w:keepNext/>
              <w:keepLines/>
              <w:widowControl w:val="0"/>
              <w:rPr>
                <w:rFonts w:cs="Times New Roman"/>
                <w:b/>
                <w:szCs w:val="24"/>
                <w:lang w:val="en-GB"/>
              </w:rPr>
            </w:pPr>
          </w:p>
        </w:tc>
        <w:tc>
          <w:tcPr>
            <w:tcW w:w="3287" w:type="dxa"/>
            <w:gridSpan w:val="2"/>
            <w:vAlign w:val="center"/>
          </w:tcPr>
          <w:p w:rsidR="007F0DFD" w:rsidRPr="007F0DFD" w:rsidRDefault="00A15BB7" w:rsidP="007F0DFD">
            <w:pPr>
              <w:keepNext/>
              <w:keepLines/>
              <w:widowControl w:val="0"/>
              <w:jc w:val="center"/>
              <w:rPr>
                <w:rFonts w:cs="Times New Roman"/>
                <w:b/>
                <w:szCs w:val="24"/>
                <w:lang w:val="en-GB"/>
              </w:rPr>
            </w:pPr>
            <w:r>
              <w:rPr>
                <w:rFonts w:cs="Times New Roman"/>
                <w:b/>
                <w:szCs w:val="24"/>
                <w:lang w:val="en-GB"/>
              </w:rPr>
              <w:t>Policy multiplier</w:t>
            </w:r>
          </w:p>
        </w:tc>
        <w:tc>
          <w:tcPr>
            <w:tcW w:w="1638" w:type="dxa"/>
            <w:vMerge w:val="restart"/>
            <w:vAlign w:val="center"/>
          </w:tcPr>
          <w:p w:rsidR="007F0DFD" w:rsidRPr="007F0DFD" w:rsidRDefault="00A15BB7" w:rsidP="007F0DFD">
            <w:pPr>
              <w:keepNext/>
              <w:keepLines/>
              <w:widowControl w:val="0"/>
              <w:jc w:val="center"/>
              <w:rPr>
                <w:rFonts w:cs="Times New Roman"/>
                <w:b/>
                <w:szCs w:val="24"/>
                <w:lang w:val="en-GB"/>
              </w:rPr>
            </w:pPr>
            <w:r>
              <w:rPr>
                <w:rFonts w:cs="Times New Roman"/>
                <w:b/>
                <w:szCs w:val="24"/>
                <w:lang w:val="en-GB"/>
              </w:rPr>
              <w:t>Return on one invested lat</w:t>
            </w:r>
            <w:r w:rsidR="007F0DFD" w:rsidRPr="007F0DFD">
              <w:rPr>
                <w:rFonts w:cs="Times New Roman"/>
                <w:b/>
                <w:szCs w:val="24"/>
                <w:lang w:val="en-GB"/>
              </w:rPr>
              <w:t xml:space="preserve"> (LVL)</w:t>
            </w:r>
          </w:p>
        </w:tc>
        <w:tc>
          <w:tcPr>
            <w:tcW w:w="1604" w:type="dxa"/>
            <w:vMerge w:val="restart"/>
            <w:vAlign w:val="center"/>
          </w:tcPr>
          <w:p w:rsidR="007F0DFD" w:rsidRPr="007F0DFD" w:rsidRDefault="00A15BB7" w:rsidP="007F0DFD">
            <w:pPr>
              <w:keepNext/>
              <w:keepLines/>
              <w:widowControl w:val="0"/>
              <w:jc w:val="center"/>
              <w:rPr>
                <w:rFonts w:cs="Times New Roman"/>
                <w:b/>
                <w:szCs w:val="24"/>
                <w:lang w:val="en-GB"/>
              </w:rPr>
            </w:pPr>
            <w:r>
              <w:rPr>
                <w:rFonts w:cs="Times New Roman"/>
                <w:b/>
                <w:szCs w:val="24"/>
                <w:lang w:val="en-GB"/>
              </w:rPr>
              <w:t>Priority ranking</w:t>
            </w:r>
          </w:p>
        </w:tc>
      </w:tr>
      <w:tr w:rsidR="007F0DFD" w:rsidRPr="007F0DFD" w:rsidTr="007F0DFD">
        <w:tc>
          <w:tcPr>
            <w:tcW w:w="2714" w:type="dxa"/>
          </w:tcPr>
          <w:p w:rsidR="007F0DFD" w:rsidRPr="007F0DFD" w:rsidRDefault="007F0DFD" w:rsidP="007F0DFD">
            <w:pPr>
              <w:keepNext/>
              <w:keepLines/>
              <w:widowControl w:val="0"/>
              <w:rPr>
                <w:rFonts w:cs="Times New Roman"/>
                <w:b/>
                <w:szCs w:val="24"/>
                <w:lang w:val="en-GB"/>
              </w:rPr>
            </w:pPr>
          </w:p>
        </w:tc>
        <w:tc>
          <w:tcPr>
            <w:tcW w:w="1540" w:type="dxa"/>
            <w:vAlign w:val="center"/>
          </w:tcPr>
          <w:p w:rsidR="007F0DFD" w:rsidRPr="007F0DFD" w:rsidRDefault="007F0DFD" w:rsidP="00A15BB7">
            <w:pPr>
              <w:keepNext/>
              <w:keepLines/>
              <w:widowControl w:val="0"/>
              <w:jc w:val="center"/>
              <w:rPr>
                <w:rFonts w:cs="Times New Roman"/>
                <w:b/>
                <w:szCs w:val="24"/>
                <w:lang w:val="en-GB"/>
              </w:rPr>
            </w:pPr>
            <w:r w:rsidRPr="007F0DFD">
              <w:rPr>
                <w:rFonts w:cs="Times New Roman"/>
                <w:b/>
                <w:szCs w:val="24"/>
                <w:lang w:val="en-GB"/>
              </w:rPr>
              <w:t xml:space="preserve">0% </w:t>
            </w:r>
            <w:r w:rsidR="00A15BB7">
              <w:rPr>
                <w:rFonts w:cs="Times New Roman"/>
                <w:b/>
                <w:szCs w:val="24"/>
                <w:lang w:val="en-GB"/>
              </w:rPr>
              <w:t>discount rate</w:t>
            </w:r>
          </w:p>
        </w:tc>
        <w:tc>
          <w:tcPr>
            <w:tcW w:w="1747" w:type="dxa"/>
            <w:vAlign w:val="center"/>
          </w:tcPr>
          <w:p w:rsidR="007F0DFD" w:rsidRPr="007F0DFD" w:rsidRDefault="007F0DFD" w:rsidP="00A15BB7">
            <w:pPr>
              <w:keepNext/>
              <w:keepLines/>
              <w:widowControl w:val="0"/>
              <w:jc w:val="center"/>
              <w:rPr>
                <w:rFonts w:cs="Times New Roman"/>
                <w:b/>
                <w:szCs w:val="24"/>
                <w:lang w:val="en-GB"/>
              </w:rPr>
            </w:pPr>
            <w:r w:rsidRPr="007F0DFD">
              <w:rPr>
                <w:rFonts w:cs="Times New Roman"/>
                <w:b/>
                <w:szCs w:val="24"/>
                <w:lang w:val="en-GB"/>
              </w:rPr>
              <w:t xml:space="preserve">5% </w:t>
            </w:r>
            <w:r w:rsidR="00A15BB7">
              <w:rPr>
                <w:rFonts w:cs="Times New Roman"/>
                <w:b/>
                <w:szCs w:val="24"/>
                <w:lang w:val="en-GB"/>
              </w:rPr>
              <w:t>discount rate</w:t>
            </w:r>
          </w:p>
        </w:tc>
        <w:tc>
          <w:tcPr>
            <w:tcW w:w="1638" w:type="dxa"/>
            <w:vMerge/>
            <w:vAlign w:val="center"/>
          </w:tcPr>
          <w:p w:rsidR="007F0DFD" w:rsidRPr="007F0DFD" w:rsidRDefault="007F0DFD" w:rsidP="007F0DFD">
            <w:pPr>
              <w:keepNext/>
              <w:keepLines/>
              <w:widowControl w:val="0"/>
              <w:jc w:val="center"/>
              <w:rPr>
                <w:rFonts w:cs="Times New Roman"/>
                <w:b/>
                <w:szCs w:val="24"/>
                <w:lang w:val="en-GB"/>
              </w:rPr>
            </w:pPr>
          </w:p>
        </w:tc>
        <w:tc>
          <w:tcPr>
            <w:tcW w:w="1604" w:type="dxa"/>
            <w:vMerge/>
            <w:vAlign w:val="center"/>
          </w:tcPr>
          <w:p w:rsidR="007F0DFD" w:rsidRPr="007F0DFD" w:rsidRDefault="007F0DFD" w:rsidP="007F0DFD">
            <w:pPr>
              <w:keepNext/>
              <w:keepLines/>
              <w:widowControl w:val="0"/>
              <w:jc w:val="center"/>
              <w:rPr>
                <w:rFonts w:cs="Times New Roman"/>
                <w:b/>
                <w:szCs w:val="24"/>
                <w:lang w:val="en-GB"/>
              </w:rPr>
            </w:pPr>
          </w:p>
        </w:tc>
      </w:tr>
      <w:tr w:rsidR="007F0DFD" w:rsidRPr="007F0DFD" w:rsidTr="007F0DFD">
        <w:tc>
          <w:tcPr>
            <w:tcW w:w="2714" w:type="dxa"/>
          </w:tcPr>
          <w:p w:rsidR="007F0DFD" w:rsidRPr="007F0DFD" w:rsidRDefault="00A15BB7" w:rsidP="007F0DFD">
            <w:pPr>
              <w:keepNext/>
              <w:keepLines/>
              <w:widowControl w:val="0"/>
              <w:rPr>
                <w:rFonts w:cs="Times New Roman"/>
                <w:b/>
                <w:szCs w:val="24"/>
                <w:lang w:val="en-GB"/>
              </w:rPr>
            </w:pPr>
            <w:r>
              <w:rPr>
                <w:rFonts w:cs="Times New Roman"/>
                <w:b/>
                <w:szCs w:val="24"/>
                <w:lang w:val="en-GB"/>
              </w:rPr>
              <w:t>The 2004-2006 planning period, total</w:t>
            </w:r>
          </w:p>
        </w:tc>
        <w:tc>
          <w:tcPr>
            <w:tcW w:w="1540" w:type="dxa"/>
            <w:vAlign w:val="center"/>
          </w:tcPr>
          <w:p w:rsidR="007F0DFD" w:rsidRPr="007F0DFD" w:rsidRDefault="007F0DFD" w:rsidP="007F0DFD">
            <w:pPr>
              <w:keepNext/>
              <w:keepLines/>
              <w:widowControl w:val="0"/>
              <w:jc w:val="center"/>
              <w:rPr>
                <w:rFonts w:cs="Times New Roman"/>
                <w:b/>
                <w:szCs w:val="24"/>
                <w:lang w:val="en-GB"/>
              </w:rPr>
            </w:pPr>
            <w:r w:rsidRPr="007F0DFD">
              <w:rPr>
                <w:rFonts w:cs="Times New Roman"/>
                <w:b/>
                <w:szCs w:val="24"/>
                <w:lang w:val="en-GB"/>
              </w:rPr>
              <w:t>0.95</w:t>
            </w:r>
          </w:p>
        </w:tc>
        <w:tc>
          <w:tcPr>
            <w:tcW w:w="1747" w:type="dxa"/>
            <w:vAlign w:val="center"/>
          </w:tcPr>
          <w:p w:rsidR="007F0DFD" w:rsidRPr="007F0DFD" w:rsidRDefault="007F0DFD" w:rsidP="007F0DFD">
            <w:pPr>
              <w:keepNext/>
              <w:keepLines/>
              <w:widowControl w:val="0"/>
              <w:jc w:val="center"/>
              <w:rPr>
                <w:rFonts w:cs="Times New Roman"/>
                <w:b/>
                <w:szCs w:val="24"/>
                <w:lang w:val="en-GB"/>
              </w:rPr>
            </w:pPr>
            <w:r w:rsidRPr="007F0DFD">
              <w:rPr>
                <w:rFonts w:cs="Times New Roman"/>
                <w:b/>
                <w:szCs w:val="24"/>
                <w:lang w:val="en-GB"/>
              </w:rPr>
              <w:t>0.88</w:t>
            </w:r>
          </w:p>
        </w:tc>
        <w:tc>
          <w:tcPr>
            <w:tcW w:w="1638" w:type="dxa"/>
            <w:vAlign w:val="center"/>
          </w:tcPr>
          <w:p w:rsidR="007F0DFD" w:rsidRPr="007F0DFD" w:rsidRDefault="007F0DFD" w:rsidP="007F0DFD">
            <w:pPr>
              <w:keepNext/>
              <w:keepLines/>
              <w:widowControl w:val="0"/>
              <w:jc w:val="center"/>
              <w:rPr>
                <w:rFonts w:cs="Times New Roman"/>
                <w:b/>
                <w:szCs w:val="24"/>
                <w:lang w:val="en-GB"/>
              </w:rPr>
            </w:pPr>
            <w:r w:rsidRPr="007F0DFD">
              <w:rPr>
                <w:rFonts w:cs="Times New Roman"/>
                <w:b/>
                <w:szCs w:val="24"/>
                <w:lang w:val="en-GB"/>
              </w:rPr>
              <w:t>3.67</w:t>
            </w:r>
          </w:p>
        </w:tc>
        <w:tc>
          <w:tcPr>
            <w:tcW w:w="1604" w:type="dxa"/>
            <w:vAlign w:val="center"/>
          </w:tcPr>
          <w:p w:rsidR="007F0DFD" w:rsidRPr="007F0DFD" w:rsidRDefault="007F0DFD" w:rsidP="007F0DFD">
            <w:pPr>
              <w:keepNext/>
              <w:keepLines/>
              <w:widowControl w:val="0"/>
              <w:jc w:val="center"/>
              <w:rPr>
                <w:rFonts w:cs="Times New Roman"/>
                <w:b/>
                <w:szCs w:val="24"/>
                <w:lang w:val="en-GB"/>
              </w:rPr>
            </w:pPr>
          </w:p>
        </w:tc>
      </w:tr>
      <w:tr w:rsidR="007F0DFD" w:rsidRPr="007F0DFD" w:rsidTr="007F0DFD">
        <w:tc>
          <w:tcPr>
            <w:tcW w:w="2714" w:type="dxa"/>
          </w:tcPr>
          <w:p w:rsidR="007F0DFD" w:rsidRPr="007F0DFD" w:rsidRDefault="007F0DFD" w:rsidP="00A15BB7">
            <w:pPr>
              <w:keepNext/>
              <w:keepLines/>
              <w:widowControl w:val="0"/>
              <w:jc w:val="left"/>
              <w:rPr>
                <w:rFonts w:cs="Times New Roman"/>
                <w:szCs w:val="24"/>
                <w:lang w:val="en-GB"/>
              </w:rPr>
            </w:pPr>
            <w:r w:rsidRPr="007F0DFD">
              <w:rPr>
                <w:rFonts w:cs="Times New Roman"/>
                <w:szCs w:val="24"/>
                <w:lang w:val="en-GB"/>
              </w:rPr>
              <w:t xml:space="preserve"> 1. </w:t>
            </w:r>
            <w:r w:rsidR="00A15BB7" w:rsidRPr="00870916">
              <w:rPr>
                <w:lang w:val="en-GB"/>
              </w:rPr>
              <w:t>Promotion of territorial cohesion</w:t>
            </w:r>
          </w:p>
        </w:tc>
        <w:tc>
          <w:tcPr>
            <w:tcW w:w="1540"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2.02</w:t>
            </w:r>
          </w:p>
        </w:tc>
        <w:tc>
          <w:tcPr>
            <w:tcW w:w="1747"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1.84</w:t>
            </w:r>
          </w:p>
        </w:tc>
        <w:tc>
          <w:tcPr>
            <w:tcW w:w="1638"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7.47</w:t>
            </w:r>
          </w:p>
        </w:tc>
        <w:tc>
          <w:tcPr>
            <w:tcW w:w="1604" w:type="dxa"/>
            <w:vAlign w:val="center"/>
          </w:tcPr>
          <w:p w:rsidR="007F0DFD" w:rsidRPr="007F0DFD" w:rsidRDefault="004E78EE" w:rsidP="007F0DFD">
            <w:pPr>
              <w:keepNext/>
              <w:keepLines/>
              <w:widowControl w:val="0"/>
              <w:jc w:val="center"/>
              <w:rPr>
                <w:rFonts w:cs="Times New Roman"/>
                <w:szCs w:val="24"/>
                <w:lang w:val="en-GB"/>
              </w:rPr>
            </w:pPr>
            <w:r>
              <w:rPr>
                <w:rFonts w:cs="Times New Roman"/>
                <w:szCs w:val="24"/>
                <w:lang w:val="en-GB"/>
              </w:rPr>
              <w:t>1</w:t>
            </w:r>
          </w:p>
        </w:tc>
      </w:tr>
      <w:tr w:rsidR="007F0DFD" w:rsidRPr="007F0DFD" w:rsidTr="007F0DFD">
        <w:tc>
          <w:tcPr>
            <w:tcW w:w="2714" w:type="dxa"/>
          </w:tcPr>
          <w:p w:rsidR="007F0DFD" w:rsidRPr="007F0DFD" w:rsidRDefault="007F0DFD" w:rsidP="00A15BB7">
            <w:pPr>
              <w:keepNext/>
              <w:keepLines/>
              <w:widowControl w:val="0"/>
              <w:jc w:val="left"/>
              <w:rPr>
                <w:rFonts w:cs="Times New Roman"/>
                <w:szCs w:val="24"/>
                <w:lang w:val="en-GB"/>
              </w:rPr>
            </w:pPr>
            <w:r w:rsidRPr="007F0DFD">
              <w:rPr>
                <w:rFonts w:cs="Times New Roman"/>
                <w:szCs w:val="24"/>
                <w:lang w:val="en-GB"/>
              </w:rPr>
              <w:t xml:space="preserve">2. </w:t>
            </w:r>
            <w:r w:rsidR="00A15BB7" w:rsidRPr="00870916">
              <w:rPr>
                <w:lang w:val="en-GB"/>
              </w:rPr>
              <w:t>Promotion of enterprise and innovations</w:t>
            </w:r>
          </w:p>
        </w:tc>
        <w:tc>
          <w:tcPr>
            <w:tcW w:w="1540"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0.64</w:t>
            </w:r>
          </w:p>
        </w:tc>
        <w:tc>
          <w:tcPr>
            <w:tcW w:w="1747"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0.59</w:t>
            </w:r>
          </w:p>
        </w:tc>
        <w:tc>
          <w:tcPr>
            <w:tcW w:w="1638"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2.56</w:t>
            </w:r>
          </w:p>
        </w:tc>
        <w:tc>
          <w:tcPr>
            <w:tcW w:w="1604" w:type="dxa"/>
            <w:vAlign w:val="center"/>
          </w:tcPr>
          <w:p w:rsidR="007F0DFD" w:rsidRPr="007F0DFD" w:rsidRDefault="004E78EE" w:rsidP="007F0DFD">
            <w:pPr>
              <w:keepNext/>
              <w:keepLines/>
              <w:widowControl w:val="0"/>
              <w:jc w:val="center"/>
              <w:rPr>
                <w:rFonts w:cs="Times New Roman"/>
                <w:szCs w:val="24"/>
                <w:lang w:val="en-GB"/>
              </w:rPr>
            </w:pPr>
            <w:r>
              <w:rPr>
                <w:rFonts w:cs="Times New Roman"/>
                <w:szCs w:val="24"/>
                <w:lang w:val="en-GB"/>
              </w:rPr>
              <w:t>2</w:t>
            </w:r>
          </w:p>
        </w:tc>
      </w:tr>
      <w:tr w:rsidR="007F0DFD" w:rsidRPr="007F0DFD" w:rsidTr="007F0DFD">
        <w:tc>
          <w:tcPr>
            <w:tcW w:w="2714" w:type="dxa"/>
          </w:tcPr>
          <w:p w:rsidR="007F0DFD" w:rsidRPr="007F0DFD" w:rsidRDefault="007F0DFD" w:rsidP="00A15BB7">
            <w:pPr>
              <w:keepNext/>
              <w:keepLines/>
              <w:widowControl w:val="0"/>
              <w:jc w:val="left"/>
              <w:rPr>
                <w:rFonts w:cs="Times New Roman"/>
                <w:szCs w:val="24"/>
                <w:lang w:val="en-GB"/>
              </w:rPr>
            </w:pPr>
            <w:r w:rsidRPr="007F0DFD">
              <w:rPr>
                <w:rFonts w:cs="Times New Roman"/>
                <w:szCs w:val="24"/>
                <w:lang w:val="en-GB"/>
              </w:rPr>
              <w:t xml:space="preserve">4. </w:t>
            </w:r>
            <w:r w:rsidR="00A15BB7" w:rsidRPr="00870916">
              <w:rPr>
                <w:lang w:val="en-GB"/>
              </w:rPr>
              <w:t>Promotion of development of agriculture and fisheries</w:t>
            </w:r>
          </w:p>
        </w:tc>
        <w:tc>
          <w:tcPr>
            <w:tcW w:w="1540"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0.51</w:t>
            </w:r>
          </w:p>
        </w:tc>
        <w:tc>
          <w:tcPr>
            <w:tcW w:w="1747"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0.49</w:t>
            </w:r>
          </w:p>
        </w:tc>
        <w:tc>
          <w:tcPr>
            <w:tcW w:w="1638"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2.31</w:t>
            </w:r>
          </w:p>
        </w:tc>
        <w:tc>
          <w:tcPr>
            <w:tcW w:w="1604" w:type="dxa"/>
            <w:vAlign w:val="center"/>
          </w:tcPr>
          <w:p w:rsidR="007F0DFD" w:rsidRPr="007F0DFD" w:rsidRDefault="004E78EE" w:rsidP="007F0DFD">
            <w:pPr>
              <w:keepNext/>
              <w:keepLines/>
              <w:widowControl w:val="0"/>
              <w:jc w:val="center"/>
              <w:rPr>
                <w:rFonts w:cs="Times New Roman"/>
                <w:szCs w:val="24"/>
                <w:lang w:val="en-GB"/>
              </w:rPr>
            </w:pPr>
            <w:r>
              <w:rPr>
                <w:rFonts w:cs="Times New Roman"/>
                <w:szCs w:val="24"/>
                <w:lang w:val="en-GB"/>
              </w:rPr>
              <w:t>3</w:t>
            </w:r>
          </w:p>
        </w:tc>
      </w:tr>
      <w:tr w:rsidR="007F0DFD" w:rsidRPr="007F0DFD" w:rsidTr="007F0DFD">
        <w:tc>
          <w:tcPr>
            <w:tcW w:w="2714" w:type="dxa"/>
          </w:tcPr>
          <w:p w:rsidR="007F0DFD" w:rsidRPr="007F0DFD" w:rsidRDefault="007F0DFD" w:rsidP="00A15BB7">
            <w:pPr>
              <w:keepNext/>
              <w:keepLines/>
              <w:widowControl w:val="0"/>
              <w:jc w:val="left"/>
              <w:rPr>
                <w:rFonts w:cs="Times New Roman"/>
                <w:szCs w:val="24"/>
                <w:lang w:val="en-GB"/>
              </w:rPr>
            </w:pPr>
            <w:r w:rsidRPr="007F0DFD">
              <w:rPr>
                <w:rFonts w:cs="Times New Roman"/>
                <w:szCs w:val="24"/>
                <w:lang w:val="en-GB"/>
              </w:rPr>
              <w:t xml:space="preserve">3. </w:t>
            </w:r>
            <w:r w:rsidR="00A15BB7" w:rsidRPr="00870916">
              <w:rPr>
                <w:lang w:val="en-GB"/>
              </w:rPr>
              <w:t>Development of human resources and promotion of employment</w:t>
            </w:r>
          </w:p>
        </w:tc>
        <w:tc>
          <w:tcPr>
            <w:tcW w:w="1540"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0.25</w:t>
            </w:r>
          </w:p>
        </w:tc>
        <w:tc>
          <w:tcPr>
            <w:tcW w:w="1747"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0.23</w:t>
            </w:r>
          </w:p>
        </w:tc>
        <w:tc>
          <w:tcPr>
            <w:tcW w:w="1638" w:type="dxa"/>
            <w:vAlign w:val="center"/>
          </w:tcPr>
          <w:p w:rsidR="007F0DFD" w:rsidRPr="007F0DFD" w:rsidRDefault="007F0DFD" w:rsidP="007F0DFD">
            <w:pPr>
              <w:keepNext/>
              <w:keepLines/>
              <w:widowControl w:val="0"/>
              <w:jc w:val="center"/>
              <w:rPr>
                <w:rFonts w:cs="Times New Roman"/>
                <w:szCs w:val="24"/>
                <w:lang w:val="en-GB"/>
              </w:rPr>
            </w:pPr>
            <w:r w:rsidRPr="007F0DFD">
              <w:rPr>
                <w:rFonts w:cs="Times New Roman"/>
                <w:szCs w:val="24"/>
                <w:lang w:val="en-GB"/>
              </w:rPr>
              <w:t>1.10</w:t>
            </w:r>
          </w:p>
        </w:tc>
        <w:tc>
          <w:tcPr>
            <w:tcW w:w="1604" w:type="dxa"/>
            <w:vAlign w:val="center"/>
          </w:tcPr>
          <w:p w:rsidR="007F0DFD" w:rsidRPr="007F0DFD" w:rsidRDefault="004E78EE" w:rsidP="007F0DFD">
            <w:pPr>
              <w:keepNext/>
              <w:keepLines/>
              <w:widowControl w:val="0"/>
              <w:jc w:val="center"/>
              <w:rPr>
                <w:rFonts w:cs="Times New Roman"/>
                <w:szCs w:val="24"/>
                <w:lang w:val="en-GB"/>
              </w:rPr>
            </w:pPr>
            <w:r>
              <w:rPr>
                <w:rFonts w:cs="Times New Roman"/>
                <w:szCs w:val="24"/>
                <w:lang w:val="en-GB"/>
              </w:rPr>
              <w:t>4</w:t>
            </w:r>
          </w:p>
        </w:tc>
      </w:tr>
    </w:tbl>
    <w:p w:rsidR="00A15BB7" w:rsidRPr="00D31979" w:rsidRDefault="00A15BB7" w:rsidP="00A15BB7">
      <w:pPr>
        <w:keepNext/>
        <w:keepLines/>
        <w:spacing w:after="0"/>
        <w:rPr>
          <w:i/>
          <w:lang w:val="en-GB"/>
        </w:rPr>
      </w:pPr>
      <w:r w:rsidRPr="00D31979">
        <w:rPr>
          <w:i/>
          <w:lang w:val="en-GB"/>
        </w:rPr>
        <w:t xml:space="preserve">* Policy multiplier calculated </w:t>
      </w:r>
      <w:r>
        <w:rPr>
          <w:i/>
          <w:lang w:val="en-GB"/>
        </w:rPr>
        <w:t xml:space="preserve">as in </w:t>
      </w:r>
      <w:r w:rsidRPr="00D31979">
        <w:rPr>
          <w:i/>
          <w:lang w:val="en-GB"/>
        </w:rPr>
        <w:t xml:space="preserve">equation (3.1), return to 1 invested lat calculated </w:t>
      </w:r>
      <w:r>
        <w:rPr>
          <w:i/>
          <w:lang w:val="en-GB"/>
        </w:rPr>
        <w:t xml:space="preserve">as in </w:t>
      </w:r>
      <w:r w:rsidRPr="00D31979">
        <w:rPr>
          <w:i/>
          <w:lang w:val="en-GB"/>
        </w:rPr>
        <w:t>equation (3.2)</w:t>
      </w:r>
      <w:r w:rsidR="004E78EE">
        <w:rPr>
          <w:i/>
          <w:lang w:val="en-GB"/>
        </w:rPr>
        <w:t>. 2004-2006 period funds include EU structural funds, INTERREG, Phare and SAPARD.</w:t>
      </w:r>
    </w:p>
    <w:p w:rsidR="00A15BB7" w:rsidRPr="00D31979" w:rsidRDefault="00A15BB7" w:rsidP="00A15BB7">
      <w:pPr>
        <w:keepLines/>
        <w:rPr>
          <w:i/>
          <w:lang w:val="en-GB"/>
        </w:rPr>
      </w:pPr>
      <w:r w:rsidRPr="00D31979">
        <w:rPr>
          <w:i/>
          <w:lang w:val="en-GB"/>
        </w:rPr>
        <w:t>Source: authors’ calculations</w:t>
      </w:r>
    </w:p>
    <w:p w:rsidR="004E55D7" w:rsidRDefault="00A15BB7" w:rsidP="00E3169C">
      <w:pPr>
        <w:rPr>
          <w:lang w:val="en-GB"/>
        </w:rPr>
      </w:pPr>
      <w:r>
        <w:rPr>
          <w:lang w:val="en-GB"/>
        </w:rPr>
        <w:t>According to the re</w:t>
      </w:r>
      <w:r w:rsidR="004E78EE">
        <w:rPr>
          <w:lang w:val="en-GB"/>
        </w:rPr>
        <w:t xml:space="preserve">sults, the highest return is </w:t>
      </w:r>
      <w:r>
        <w:rPr>
          <w:lang w:val="en-GB"/>
        </w:rPr>
        <w:t>on investment aimed at p</w:t>
      </w:r>
      <w:r w:rsidRPr="00A15BB7">
        <w:rPr>
          <w:lang w:val="en-GB"/>
        </w:rPr>
        <w:t>romotion of territorial cohesion</w:t>
      </w:r>
      <w:r>
        <w:rPr>
          <w:lang w:val="en-GB"/>
        </w:rPr>
        <w:t xml:space="preserve"> (7.47</w:t>
      </w:r>
      <w:r w:rsidR="004E78EE" w:rsidRPr="004E78EE">
        <w:rPr>
          <w:lang w:val="en-GB"/>
        </w:rPr>
        <w:t xml:space="preserve"> </w:t>
      </w:r>
      <w:r w:rsidR="004E78EE">
        <w:rPr>
          <w:lang w:val="en-GB"/>
        </w:rPr>
        <w:t>lats on 1 invested lat</w:t>
      </w:r>
      <w:r>
        <w:rPr>
          <w:lang w:val="en-GB"/>
        </w:rPr>
        <w:t xml:space="preserve">). </w:t>
      </w:r>
      <w:r w:rsidR="00F25C28">
        <w:rPr>
          <w:lang w:val="en-GB"/>
        </w:rPr>
        <w:t xml:space="preserve">The </w:t>
      </w:r>
      <w:r w:rsidR="00577861">
        <w:rPr>
          <w:lang w:val="en-GB"/>
        </w:rPr>
        <w:t>high</w:t>
      </w:r>
      <w:r>
        <w:rPr>
          <w:lang w:val="en-GB"/>
        </w:rPr>
        <w:t xml:space="preserve"> return on </w:t>
      </w:r>
      <w:r w:rsidR="004E78EE">
        <w:rPr>
          <w:lang w:val="en-GB"/>
        </w:rPr>
        <w:t>this priority</w:t>
      </w:r>
      <w:r>
        <w:rPr>
          <w:lang w:val="en-GB"/>
        </w:rPr>
        <w:t xml:space="preserve"> can be </w:t>
      </w:r>
      <w:r w:rsidR="004E78EE">
        <w:rPr>
          <w:lang w:val="en-GB"/>
        </w:rPr>
        <w:t>explained by the fact that this</w:t>
      </w:r>
      <w:r>
        <w:rPr>
          <w:lang w:val="en-GB"/>
        </w:rPr>
        <w:t xml:space="preserve"> </w:t>
      </w:r>
      <w:r w:rsidR="004E78EE">
        <w:rPr>
          <w:lang w:val="en-GB"/>
        </w:rPr>
        <w:t xml:space="preserve">priority </w:t>
      </w:r>
      <w:r>
        <w:rPr>
          <w:lang w:val="en-GB"/>
        </w:rPr>
        <w:t>mainly comprise</w:t>
      </w:r>
      <w:r w:rsidR="004E78EE">
        <w:rPr>
          <w:lang w:val="en-GB"/>
        </w:rPr>
        <w:t>s</w:t>
      </w:r>
      <w:r>
        <w:rPr>
          <w:lang w:val="en-GB"/>
        </w:rPr>
        <w:t xml:space="preserve"> investment in infrastructure. </w:t>
      </w:r>
      <w:r w:rsidR="00F25C28">
        <w:rPr>
          <w:lang w:val="en-GB"/>
        </w:rPr>
        <w:t>The o</w:t>
      </w:r>
      <w:r>
        <w:rPr>
          <w:lang w:val="en-GB"/>
        </w:rPr>
        <w:t xml:space="preserve">utput of these investments – a better infrastructure – is not sector specific and </w:t>
      </w:r>
      <w:r w:rsidR="00F25C28">
        <w:rPr>
          <w:lang w:val="en-GB"/>
        </w:rPr>
        <w:t>is available for use in</w:t>
      </w:r>
      <w:r>
        <w:rPr>
          <w:lang w:val="en-GB"/>
        </w:rPr>
        <w:t xml:space="preserve"> all sectors. </w:t>
      </w:r>
    </w:p>
    <w:p w:rsidR="007F0DFD" w:rsidRDefault="007F35B1" w:rsidP="00E3169C">
      <w:pPr>
        <w:rPr>
          <w:lang w:val="en-GB"/>
        </w:rPr>
      </w:pPr>
      <w:r>
        <w:rPr>
          <w:lang w:val="en-GB"/>
        </w:rPr>
        <w:t xml:space="preserve">Other priorities mainly include investment in physical capital and human capital – investment, which is specific to the sector where it is made – which </w:t>
      </w:r>
      <w:r w:rsidR="00C354F4">
        <w:rPr>
          <w:lang w:val="en-GB"/>
        </w:rPr>
        <w:t xml:space="preserve">contributes to </w:t>
      </w:r>
      <w:r w:rsidR="00334A5E">
        <w:rPr>
          <w:lang w:val="en-GB"/>
        </w:rPr>
        <w:t>the</w:t>
      </w:r>
      <w:r>
        <w:rPr>
          <w:lang w:val="en-GB"/>
        </w:rPr>
        <w:t xml:space="preserve"> relatively low return on investment made within these priorities. </w:t>
      </w:r>
    </w:p>
    <w:p w:rsidR="007F35B1" w:rsidRDefault="00C354F4" w:rsidP="00E3169C">
      <w:pPr>
        <w:rPr>
          <w:lang w:val="en-GB"/>
        </w:rPr>
      </w:pPr>
      <w:r>
        <w:rPr>
          <w:lang w:val="en-GB"/>
        </w:rPr>
        <w:t>As</w:t>
      </w:r>
      <w:r w:rsidR="00571C8B">
        <w:rPr>
          <w:lang w:val="en-GB"/>
        </w:rPr>
        <w:t xml:space="preserve"> in the 2004-2006 planning period, the highest return in the 2007-2013 planning period is estimated on the priorities featuring high share of investment in infrastructure – namely, investment in transport (25.66 lats on 1 invested lat), investment in e</w:t>
      </w:r>
      <w:r w:rsidR="00571C8B" w:rsidRPr="00571C8B">
        <w:rPr>
          <w:lang w:val="en-GB"/>
        </w:rPr>
        <w:t>nvironmental protection and risk reduction</w:t>
      </w:r>
      <w:r w:rsidR="00571C8B">
        <w:rPr>
          <w:lang w:val="en-GB"/>
        </w:rPr>
        <w:t xml:space="preserve"> (22.06 lats) and investment in information society (12.07, see Table 3.3). </w:t>
      </w:r>
    </w:p>
    <w:p w:rsidR="00571C8B" w:rsidRPr="00571C8B" w:rsidRDefault="00571C8B" w:rsidP="00571C8B">
      <w:pPr>
        <w:keepNext/>
        <w:keepLines/>
        <w:widowControl w:val="0"/>
        <w:spacing w:after="0"/>
        <w:rPr>
          <w:b/>
          <w:lang w:val="en-GB"/>
        </w:rPr>
      </w:pPr>
      <w:r>
        <w:rPr>
          <w:b/>
          <w:lang w:val="en-GB"/>
        </w:rPr>
        <w:lastRenderedPageBreak/>
        <w:t xml:space="preserve">Table </w:t>
      </w:r>
      <w:r w:rsidRPr="00571C8B">
        <w:rPr>
          <w:b/>
          <w:lang w:val="en-GB"/>
        </w:rPr>
        <w:t xml:space="preserve">3.3: </w:t>
      </w:r>
      <w:r>
        <w:rPr>
          <w:b/>
          <w:lang w:val="en-GB"/>
        </w:rPr>
        <w:t>Return on fund investment by priority in the 2007-2013 planning period (assuming 30% crowding out)</w:t>
      </w:r>
      <w:r w:rsidRPr="007F0DFD">
        <w:rPr>
          <w:b/>
          <w:lang w:val="en-GB"/>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00"/>
        <w:gridCol w:w="14"/>
        <w:gridCol w:w="1540"/>
        <w:gridCol w:w="12"/>
        <w:gridCol w:w="1728"/>
        <w:gridCol w:w="7"/>
        <w:gridCol w:w="1624"/>
        <w:gridCol w:w="14"/>
        <w:gridCol w:w="1604"/>
      </w:tblGrid>
      <w:tr w:rsidR="00571C8B" w:rsidRPr="007F0DFD" w:rsidTr="00F25C28">
        <w:tc>
          <w:tcPr>
            <w:tcW w:w="2714" w:type="dxa"/>
            <w:gridSpan w:val="2"/>
          </w:tcPr>
          <w:p w:rsidR="00571C8B" w:rsidRPr="007F0DFD" w:rsidRDefault="00571C8B" w:rsidP="00F25C28">
            <w:pPr>
              <w:keepNext/>
              <w:keepLines/>
              <w:widowControl w:val="0"/>
              <w:rPr>
                <w:rFonts w:cs="Times New Roman"/>
                <w:b/>
                <w:szCs w:val="24"/>
                <w:lang w:val="en-GB"/>
              </w:rPr>
            </w:pPr>
          </w:p>
        </w:tc>
        <w:tc>
          <w:tcPr>
            <w:tcW w:w="3287" w:type="dxa"/>
            <w:gridSpan w:val="4"/>
            <w:vAlign w:val="center"/>
          </w:tcPr>
          <w:p w:rsidR="00571C8B" w:rsidRPr="007F0DFD" w:rsidRDefault="00571C8B" w:rsidP="00F25C28">
            <w:pPr>
              <w:keepNext/>
              <w:keepLines/>
              <w:widowControl w:val="0"/>
              <w:jc w:val="center"/>
              <w:rPr>
                <w:rFonts w:cs="Times New Roman"/>
                <w:b/>
                <w:szCs w:val="24"/>
                <w:lang w:val="en-GB"/>
              </w:rPr>
            </w:pPr>
            <w:r>
              <w:rPr>
                <w:rFonts w:cs="Times New Roman"/>
                <w:b/>
                <w:szCs w:val="24"/>
                <w:lang w:val="en-GB"/>
              </w:rPr>
              <w:t>Policy multiplier</w:t>
            </w:r>
          </w:p>
        </w:tc>
        <w:tc>
          <w:tcPr>
            <w:tcW w:w="1638" w:type="dxa"/>
            <w:gridSpan w:val="2"/>
            <w:vMerge w:val="restart"/>
            <w:vAlign w:val="center"/>
          </w:tcPr>
          <w:p w:rsidR="00571C8B" w:rsidRPr="007F0DFD" w:rsidRDefault="00571C8B" w:rsidP="00F25C28">
            <w:pPr>
              <w:keepNext/>
              <w:keepLines/>
              <w:widowControl w:val="0"/>
              <w:jc w:val="center"/>
              <w:rPr>
                <w:rFonts w:cs="Times New Roman"/>
                <w:b/>
                <w:szCs w:val="24"/>
                <w:lang w:val="en-GB"/>
              </w:rPr>
            </w:pPr>
            <w:r>
              <w:rPr>
                <w:rFonts w:cs="Times New Roman"/>
                <w:b/>
                <w:szCs w:val="24"/>
                <w:lang w:val="en-GB"/>
              </w:rPr>
              <w:t>Return on one invested lat</w:t>
            </w:r>
            <w:r w:rsidRPr="007F0DFD">
              <w:rPr>
                <w:rFonts w:cs="Times New Roman"/>
                <w:b/>
                <w:szCs w:val="24"/>
                <w:lang w:val="en-GB"/>
              </w:rPr>
              <w:t xml:space="preserve"> (LVL)</w:t>
            </w:r>
          </w:p>
        </w:tc>
        <w:tc>
          <w:tcPr>
            <w:tcW w:w="1604" w:type="dxa"/>
            <w:vMerge w:val="restart"/>
            <w:vAlign w:val="center"/>
          </w:tcPr>
          <w:p w:rsidR="00571C8B" w:rsidRPr="007F0DFD" w:rsidRDefault="00571C8B" w:rsidP="00F25C28">
            <w:pPr>
              <w:keepNext/>
              <w:keepLines/>
              <w:widowControl w:val="0"/>
              <w:jc w:val="center"/>
              <w:rPr>
                <w:rFonts w:cs="Times New Roman"/>
                <w:b/>
                <w:szCs w:val="24"/>
                <w:lang w:val="en-GB"/>
              </w:rPr>
            </w:pPr>
            <w:r>
              <w:rPr>
                <w:rFonts w:cs="Times New Roman"/>
                <w:b/>
                <w:szCs w:val="24"/>
                <w:lang w:val="en-GB"/>
              </w:rPr>
              <w:t>Priority ranking</w:t>
            </w:r>
          </w:p>
        </w:tc>
      </w:tr>
      <w:tr w:rsidR="00571C8B" w:rsidRPr="007F0DFD" w:rsidTr="00F25C28">
        <w:tc>
          <w:tcPr>
            <w:tcW w:w="2714" w:type="dxa"/>
            <w:gridSpan w:val="2"/>
          </w:tcPr>
          <w:p w:rsidR="00571C8B" w:rsidRPr="007F0DFD" w:rsidRDefault="00571C8B" w:rsidP="00F25C28">
            <w:pPr>
              <w:keepNext/>
              <w:keepLines/>
              <w:widowControl w:val="0"/>
              <w:rPr>
                <w:rFonts w:cs="Times New Roman"/>
                <w:b/>
                <w:szCs w:val="24"/>
                <w:lang w:val="en-GB"/>
              </w:rPr>
            </w:pPr>
          </w:p>
        </w:tc>
        <w:tc>
          <w:tcPr>
            <w:tcW w:w="1540" w:type="dxa"/>
            <w:vAlign w:val="center"/>
          </w:tcPr>
          <w:p w:rsidR="00571C8B" w:rsidRPr="007F0DFD" w:rsidRDefault="00571C8B" w:rsidP="00F25C28">
            <w:pPr>
              <w:keepNext/>
              <w:keepLines/>
              <w:widowControl w:val="0"/>
              <w:jc w:val="center"/>
              <w:rPr>
                <w:rFonts w:cs="Times New Roman"/>
                <w:b/>
                <w:szCs w:val="24"/>
                <w:lang w:val="en-GB"/>
              </w:rPr>
            </w:pPr>
            <w:r w:rsidRPr="007F0DFD">
              <w:rPr>
                <w:rFonts w:cs="Times New Roman"/>
                <w:b/>
                <w:szCs w:val="24"/>
                <w:lang w:val="en-GB"/>
              </w:rPr>
              <w:t xml:space="preserve">0% </w:t>
            </w:r>
            <w:r>
              <w:rPr>
                <w:rFonts w:cs="Times New Roman"/>
                <w:b/>
                <w:szCs w:val="24"/>
                <w:lang w:val="en-GB"/>
              </w:rPr>
              <w:t>discount rate</w:t>
            </w:r>
          </w:p>
        </w:tc>
        <w:tc>
          <w:tcPr>
            <w:tcW w:w="1747" w:type="dxa"/>
            <w:gridSpan w:val="3"/>
            <w:vAlign w:val="center"/>
          </w:tcPr>
          <w:p w:rsidR="00571C8B" w:rsidRPr="007F0DFD" w:rsidRDefault="00571C8B" w:rsidP="00F25C28">
            <w:pPr>
              <w:keepNext/>
              <w:keepLines/>
              <w:widowControl w:val="0"/>
              <w:jc w:val="center"/>
              <w:rPr>
                <w:rFonts w:cs="Times New Roman"/>
                <w:b/>
                <w:szCs w:val="24"/>
                <w:lang w:val="en-GB"/>
              </w:rPr>
            </w:pPr>
            <w:r w:rsidRPr="007F0DFD">
              <w:rPr>
                <w:rFonts w:cs="Times New Roman"/>
                <w:b/>
                <w:szCs w:val="24"/>
                <w:lang w:val="en-GB"/>
              </w:rPr>
              <w:t xml:space="preserve">5% </w:t>
            </w:r>
            <w:r>
              <w:rPr>
                <w:rFonts w:cs="Times New Roman"/>
                <w:b/>
                <w:szCs w:val="24"/>
                <w:lang w:val="en-GB"/>
              </w:rPr>
              <w:t>discount rate</w:t>
            </w:r>
          </w:p>
        </w:tc>
        <w:tc>
          <w:tcPr>
            <w:tcW w:w="1638" w:type="dxa"/>
            <w:gridSpan w:val="2"/>
            <w:vMerge/>
            <w:vAlign w:val="center"/>
          </w:tcPr>
          <w:p w:rsidR="00571C8B" w:rsidRPr="007F0DFD" w:rsidRDefault="00571C8B" w:rsidP="00F25C28">
            <w:pPr>
              <w:keepNext/>
              <w:keepLines/>
              <w:widowControl w:val="0"/>
              <w:jc w:val="center"/>
              <w:rPr>
                <w:rFonts w:cs="Times New Roman"/>
                <w:b/>
                <w:szCs w:val="24"/>
                <w:lang w:val="en-GB"/>
              </w:rPr>
            </w:pPr>
          </w:p>
        </w:tc>
        <w:tc>
          <w:tcPr>
            <w:tcW w:w="1604" w:type="dxa"/>
            <w:vMerge/>
            <w:vAlign w:val="center"/>
          </w:tcPr>
          <w:p w:rsidR="00571C8B" w:rsidRPr="007F0DFD" w:rsidRDefault="00571C8B" w:rsidP="00F25C28">
            <w:pPr>
              <w:keepNext/>
              <w:keepLines/>
              <w:widowControl w:val="0"/>
              <w:jc w:val="center"/>
              <w:rPr>
                <w:rFonts w:cs="Times New Roman"/>
                <w:b/>
                <w:szCs w:val="24"/>
                <w:lang w:val="en-GB"/>
              </w:rPr>
            </w:pPr>
          </w:p>
        </w:tc>
      </w:tr>
      <w:tr w:rsidR="00571C8B" w:rsidRPr="00571C8B" w:rsidTr="00F25C28">
        <w:tc>
          <w:tcPr>
            <w:tcW w:w="2700" w:type="dxa"/>
          </w:tcPr>
          <w:p w:rsidR="00571C8B" w:rsidRPr="007F0DFD" w:rsidRDefault="00571C8B" w:rsidP="00571C8B">
            <w:pPr>
              <w:keepNext/>
              <w:keepLines/>
              <w:widowControl w:val="0"/>
              <w:rPr>
                <w:rFonts w:cs="Times New Roman"/>
                <w:b/>
                <w:szCs w:val="24"/>
                <w:lang w:val="en-GB"/>
              </w:rPr>
            </w:pPr>
            <w:r>
              <w:rPr>
                <w:rFonts w:cs="Times New Roman"/>
                <w:b/>
                <w:szCs w:val="24"/>
                <w:lang w:val="en-GB"/>
              </w:rPr>
              <w:t>The 2007-2013 planning period, total</w:t>
            </w:r>
          </w:p>
        </w:tc>
        <w:tc>
          <w:tcPr>
            <w:tcW w:w="1566" w:type="dxa"/>
            <w:gridSpan w:val="3"/>
            <w:vAlign w:val="center"/>
          </w:tcPr>
          <w:p w:rsidR="00571C8B" w:rsidRPr="00571C8B" w:rsidRDefault="00571C8B" w:rsidP="00F25C28">
            <w:pPr>
              <w:keepNext/>
              <w:keepLines/>
              <w:jc w:val="center"/>
              <w:rPr>
                <w:rFonts w:cs="Times New Roman"/>
                <w:b/>
                <w:szCs w:val="24"/>
                <w:lang w:val="en-GB"/>
              </w:rPr>
            </w:pPr>
            <w:r w:rsidRPr="00571C8B">
              <w:rPr>
                <w:rFonts w:cs="Times New Roman"/>
                <w:b/>
                <w:szCs w:val="24"/>
                <w:lang w:val="en-GB"/>
              </w:rPr>
              <w:t>1.28</w:t>
            </w:r>
          </w:p>
        </w:tc>
        <w:tc>
          <w:tcPr>
            <w:tcW w:w="1728" w:type="dxa"/>
            <w:vAlign w:val="center"/>
          </w:tcPr>
          <w:p w:rsidR="00571C8B" w:rsidRPr="00571C8B" w:rsidRDefault="00571C8B" w:rsidP="00F25C28">
            <w:pPr>
              <w:keepNext/>
              <w:keepLines/>
              <w:jc w:val="center"/>
              <w:rPr>
                <w:rFonts w:cs="Times New Roman"/>
                <w:b/>
                <w:szCs w:val="24"/>
                <w:lang w:val="en-GB"/>
              </w:rPr>
            </w:pPr>
            <w:r w:rsidRPr="00571C8B">
              <w:rPr>
                <w:rFonts w:cs="Times New Roman"/>
                <w:b/>
                <w:szCs w:val="24"/>
                <w:lang w:val="en-GB"/>
              </w:rPr>
              <w:t>1.18</w:t>
            </w:r>
          </w:p>
        </w:tc>
        <w:tc>
          <w:tcPr>
            <w:tcW w:w="1631" w:type="dxa"/>
            <w:gridSpan w:val="2"/>
            <w:vAlign w:val="center"/>
          </w:tcPr>
          <w:p w:rsidR="00571C8B" w:rsidRPr="00571C8B" w:rsidRDefault="00571C8B" w:rsidP="00F25C28">
            <w:pPr>
              <w:keepNext/>
              <w:keepLines/>
              <w:jc w:val="center"/>
              <w:rPr>
                <w:rFonts w:cs="Times New Roman"/>
                <w:b/>
                <w:szCs w:val="24"/>
                <w:lang w:val="en-GB"/>
              </w:rPr>
            </w:pPr>
            <w:r w:rsidRPr="00571C8B">
              <w:rPr>
                <w:rFonts w:cs="Times New Roman"/>
                <w:b/>
                <w:szCs w:val="24"/>
                <w:lang w:val="en-GB"/>
              </w:rPr>
              <w:t>12.25</w:t>
            </w:r>
          </w:p>
        </w:tc>
        <w:tc>
          <w:tcPr>
            <w:tcW w:w="1618" w:type="dxa"/>
            <w:gridSpan w:val="2"/>
            <w:vAlign w:val="center"/>
          </w:tcPr>
          <w:p w:rsidR="00571C8B" w:rsidRPr="00571C8B" w:rsidRDefault="00571C8B" w:rsidP="00F25C28">
            <w:pPr>
              <w:keepNext/>
              <w:keepLines/>
              <w:jc w:val="center"/>
              <w:rPr>
                <w:rFonts w:cs="Times New Roman"/>
                <w:b/>
                <w:szCs w:val="24"/>
                <w:lang w:val="en-GB"/>
              </w:rPr>
            </w:pPr>
          </w:p>
        </w:tc>
      </w:tr>
      <w:tr w:rsidR="00571C8B" w:rsidRPr="00571C8B" w:rsidTr="00F25C28">
        <w:tc>
          <w:tcPr>
            <w:tcW w:w="2700" w:type="dxa"/>
          </w:tcPr>
          <w:p w:rsidR="00571C8B" w:rsidRPr="00571C8B" w:rsidRDefault="00571C8B" w:rsidP="00F25C28">
            <w:pPr>
              <w:keepNext/>
              <w:keepLines/>
              <w:rPr>
                <w:rFonts w:cs="Times New Roman"/>
                <w:szCs w:val="24"/>
                <w:lang w:val="en-GB"/>
              </w:rPr>
            </w:pPr>
            <w:r>
              <w:rPr>
                <w:rFonts w:cs="Times New Roman"/>
                <w:szCs w:val="24"/>
                <w:lang w:val="en-GB"/>
              </w:rPr>
              <w:t>2.4. Transport</w:t>
            </w:r>
          </w:p>
        </w:tc>
        <w:tc>
          <w:tcPr>
            <w:tcW w:w="1566" w:type="dxa"/>
            <w:gridSpan w:val="3"/>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2.28</w:t>
            </w:r>
          </w:p>
        </w:tc>
        <w:tc>
          <w:tcPr>
            <w:tcW w:w="1728" w:type="dxa"/>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2.09</w:t>
            </w:r>
          </w:p>
        </w:tc>
        <w:tc>
          <w:tcPr>
            <w:tcW w:w="1631"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25.66</w:t>
            </w:r>
          </w:p>
        </w:tc>
        <w:tc>
          <w:tcPr>
            <w:tcW w:w="1618"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1</w:t>
            </w:r>
          </w:p>
        </w:tc>
      </w:tr>
      <w:tr w:rsidR="00571C8B" w:rsidRPr="00571C8B" w:rsidTr="00F25C28">
        <w:tc>
          <w:tcPr>
            <w:tcW w:w="2700" w:type="dxa"/>
          </w:tcPr>
          <w:p w:rsidR="00571C8B" w:rsidRPr="00571C8B" w:rsidRDefault="00571C8B" w:rsidP="00F25C28">
            <w:pPr>
              <w:keepNext/>
              <w:keepLines/>
              <w:rPr>
                <w:rFonts w:cs="Times New Roman"/>
                <w:szCs w:val="24"/>
                <w:lang w:val="en-GB"/>
              </w:rPr>
            </w:pPr>
            <w:r w:rsidRPr="00571C8B">
              <w:rPr>
                <w:rFonts w:cs="Times New Roman"/>
                <w:szCs w:val="24"/>
                <w:lang w:val="en-GB"/>
              </w:rPr>
              <w:t>2.6. Environmental protection and risk reduction</w:t>
            </w:r>
          </w:p>
        </w:tc>
        <w:tc>
          <w:tcPr>
            <w:tcW w:w="1566" w:type="dxa"/>
            <w:gridSpan w:val="3"/>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1.41</w:t>
            </w:r>
          </w:p>
        </w:tc>
        <w:tc>
          <w:tcPr>
            <w:tcW w:w="1728" w:type="dxa"/>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1.40</w:t>
            </w:r>
          </w:p>
        </w:tc>
        <w:tc>
          <w:tcPr>
            <w:tcW w:w="1631"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22.06</w:t>
            </w:r>
          </w:p>
        </w:tc>
        <w:tc>
          <w:tcPr>
            <w:tcW w:w="1618"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2</w:t>
            </w:r>
          </w:p>
        </w:tc>
      </w:tr>
      <w:tr w:rsidR="00571C8B" w:rsidRPr="00571C8B" w:rsidTr="00F25C28">
        <w:tc>
          <w:tcPr>
            <w:tcW w:w="2700" w:type="dxa"/>
          </w:tcPr>
          <w:p w:rsidR="00571C8B" w:rsidRPr="00571C8B" w:rsidRDefault="00571C8B" w:rsidP="00F25C28">
            <w:pPr>
              <w:keepNext/>
              <w:keepLines/>
              <w:rPr>
                <w:rFonts w:cs="Times New Roman"/>
                <w:szCs w:val="24"/>
                <w:lang w:val="en-GB"/>
              </w:rPr>
            </w:pPr>
            <w:r w:rsidRPr="00571C8B">
              <w:rPr>
                <w:rFonts w:cs="Times New Roman"/>
                <w:szCs w:val="24"/>
                <w:lang w:val="en-GB"/>
              </w:rPr>
              <w:t xml:space="preserve">2.3. </w:t>
            </w:r>
            <w:r w:rsidRPr="0018359B">
              <w:rPr>
                <w:lang w:val="en-GB"/>
              </w:rPr>
              <w:t>Information society</w:t>
            </w:r>
          </w:p>
        </w:tc>
        <w:tc>
          <w:tcPr>
            <w:tcW w:w="1566" w:type="dxa"/>
            <w:gridSpan w:val="3"/>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1.53</w:t>
            </w:r>
          </w:p>
        </w:tc>
        <w:tc>
          <w:tcPr>
            <w:tcW w:w="1728" w:type="dxa"/>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1.34</w:t>
            </w:r>
          </w:p>
        </w:tc>
        <w:tc>
          <w:tcPr>
            <w:tcW w:w="1631"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12.07</w:t>
            </w:r>
          </w:p>
        </w:tc>
        <w:tc>
          <w:tcPr>
            <w:tcW w:w="1618"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3</w:t>
            </w:r>
          </w:p>
        </w:tc>
      </w:tr>
      <w:tr w:rsidR="00571C8B" w:rsidRPr="00571C8B" w:rsidTr="00F25C28">
        <w:tc>
          <w:tcPr>
            <w:tcW w:w="2700" w:type="dxa"/>
          </w:tcPr>
          <w:p w:rsidR="00571C8B" w:rsidRPr="00571C8B" w:rsidRDefault="00571C8B" w:rsidP="00F25C28">
            <w:pPr>
              <w:keepNext/>
              <w:keepLines/>
              <w:rPr>
                <w:rFonts w:cs="Times New Roman"/>
                <w:szCs w:val="24"/>
                <w:lang w:val="en-GB"/>
              </w:rPr>
            </w:pPr>
            <w:r w:rsidRPr="00571C8B">
              <w:rPr>
                <w:rFonts w:cs="Times New Roman"/>
                <w:szCs w:val="24"/>
                <w:lang w:val="en-GB"/>
              </w:rPr>
              <w:t xml:space="preserve">2.7. </w:t>
            </w:r>
            <w:r w:rsidRPr="0018359B">
              <w:rPr>
                <w:lang w:val="en-GB"/>
              </w:rPr>
              <w:t>Human capital, employment, social integration</w:t>
            </w:r>
          </w:p>
        </w:tc>
        <w:tc>
          <w:tcPr>
            <w:tcW w:w="1566" w:type="dxa"/>
            <w:gridSpan w:val="3"/>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1.33</w:t>
            </w:r>
          </w:p>
        </w:tc>
        <w:tc>
          <w:tcPr>
            <w:tcW w:w="1728" w:type="dxa"/>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1.15</w:t>
            </w:r>
          </w:p>
        </w:tc>
        <w:tc>
          <w:tcPr>
            <w:tcW w:w="1631"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10.38</w:t>
            </w:r>
          </w:p>
        </w:tc>
        <w:tc>
          <w:tcPr>
            <w:tcW w:w="1618"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4</w:t>
            </w:r>
          </w:p>
        </w:tc>
      </w:tr>
      <w:tr w:rsidR="00571C8B" w:rsidRPr="00571C8B" w:rsidTr="00F25C28">
        <w:tc>
          <w:tcPr>
            <w:tcW w:w="2700" w:type="dxa"/>
          </w:tcPr>
          <w:p w:rsidR="00571C8B" w:rsidRPr="00571C8B" w:rsidRDefault="00571C8B" w:rsidP="00F25C28">
            <w:pPr>
              <w:keepNext/>
              <w:keepLines/>
              <w:rPr>
                <w:rFonts w:cs="Times New Roman"/>
                <w:szCs w:val="24"/>
                <w:lang w:val="en-GB"/>
              </w:rPr>
            </w:pPr>
            <w:r w:rsidRPr="00571C8B">
              <w:rPr>
                <w:rFonts w:cs="Times New Roman"/>
                <w:szCs w:val="24"/>
                <w:lang w:val="en-GB"/>
              </w:rPr>
              <w:t xml:space="preserve"> 2.1. </w:t>
            </w:r>
            <w:r w:rsidRPr="0018359B">
              <w:rPr>
                <w:lang w:val="en-GB"/>
              </w:rPr>
              <w:t>Research and technology development</w:t>
            </w:r>
          </w:p>
        </w:tc>
        <w:tc>
          <w:tcPr>
            <w:tcW w:w="1566" w:type="dxa"/>
            <w:gridSpan w:val="3"/>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1.22</w:t>
            </w:r>
          </w:p>
        </w:tc>
        <w:tc>
          <w:tcPr>
            <w:tcW w:w="1728" w:type="dxa"/>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1.03</w:t>
            </w:r>
          </w:p>
        </w:tc>
        <w:tc>
          <w:tcPr>
            <w:tcW w:w="1631"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5.74</w:t>
            </w:r>
          </w:p>
        </w:tc>
        <w:tc>
          <w:tcPr>
            <w:tcW w:w="1618"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5</w:t>
            </w:r>
          </w:p>
        </w:tc>
      </w:tr>
      <w:tr w:rsidR="00571C8B" w:rsidRPr="00571C8B" w:rsidTr="00F25C28">
        <w:tc>
          <w:tcPr>
            <w:tcW w:w="2700" w:type="dxa"/>
          </w:tcPr>
          <w:p w:rsidR="00571C8B" w:rsidRPr="00571C8B" w:rsidRDefault="00571C8B" w:rsidP="00F25C28">
            <w:pPr>
              <w:keepNext/>
              <w:keepLines/>
              <w:rPr>
                <w:rFonts w:cs="Times New Roman"/>
                <w:szCs w:val="24"/>
                <w:lang w:val="en-GB"/>
              </w:rPr>
            </w:pPr>
            <w:r w:rsidRPr="00571C8B">
              <w:rPr>
                <w:rFonts w:cs="Times New Roman"/>
                <w:szCs w:val="24"/>
                <w:lang w:val="en-GB"/>
              </w:rPr>
              <w:t xml:space="preserve">2.8. </w:t>
            </w:r>
            <w:r w:rsidRPr="0018359B">
              <w:rPr>
                <w:lang w:val="en-GB"/>
              </w:rPr>
              <w:t>Education</w:t>
            </w:r>
          </w:p>
        </w:tc>
        <w:tc>
          <w:tcPr>
            <w:tcW w:w="1566" w:type="dxa"/>
            <w:gridSpan w:val="3"/>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0.60</w:t>
            </w:r>
          </w:p>
        </w:tc>
        <w:tc>
          <w:tcPr>
            <w:tcW w:w="1728" w:type="dxa"/>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0.51</w:t>
            </w:r>
          </w:p>
        </w:tc>
        <w:tc>
          <w:tcPr>
            <w:tcW w:w="1631"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4.28</w:t>
            </w:r>
          </w:p>
        </w:tc>
        <w:tc>
          <w:tcPr>
            <w:tcW w:w="1618"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6</w:t>
            </w:r>
          </w:p>
        </w:tc>
      </w:tr>
      <w:tr w:rsidR="00571C8B" w:rsidRPr="00571C8B" w:rsidTr="00F25C28">
        <w:tc>
          <w:tcPr>
            <w:tcW w:w="2700" w:type="dxa"/>
          </w:tcPr>
          <w:p w:rsidR="00571C8B" w:rsidRPr="00571C8B" w:rsidRDefault="00571C8B" w:rsidP="00F25C28">
            <w:pPr>
              <w:keepNext/>
              <w:keepLines/>
              <w:rPr>
                <w:rFonts w:cs="Times New Roman"/>
                <w:szCs w:val="24"/>
                <w:lang w:val="en-GB"/>
              </w:rPr>
            </w:pPr>
            <w:r w:rsidRPr="00571C8B">
              <w:rPr>
                <w:rFonts w:cs="Times New Roman"/>
                <w:szCs w:val="24"/>
                <w:lang w:val="en-GB"/>
              </w:rPr>
              <w:t xml:space="preserve">2.2. </w:t>
            </w:r>
            <w:r w:rsidRPr="0018359B">
              <w:rPr>
                <w:lang w:val="en-GB"/>
              </w:rPr>
              <w:t>Innovations and entrepreneurship</w:t>
            </w:r>
          </w:p>
        </w:tc>
        <w:tc>
          <w:tcPr>
            <w:tcW w:w="1566" w:type="dxa"/>
            <w:gridSpan w:val="3"/>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0.43</w:t>
            </w:r>
          </w:p>
        </w:tc>
        <w:tc>
          <w:tcPr>
            <w:tcW w:w="1728" w:type="dxa"/>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0.38</w:t>
            </w:r>
          </w:p>
        </w:tc>
        <w:tc>
          <w:tcPr>
            <w:tcW w:w="1631"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4.12</w:t>
            </w:r>
          </w:p>
        </w:tc>
        <w:tc>
          <w:tcPr>
            <w:tcW w:w="1618"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7</w:t>
            </w:r>
          </w:p>
        </w:tc>
      </w:tr>
      <w:tr w:rsidR="00571C8B" w:rsidRPr="00571C8B" w:rsidTr="00F25C28">
        <w:tc>
          <w:tcPr>
            <w:tcW w:w="2700" w:type="dxa"/>
          </w:tcPr>
          <w:p w:rsidR="00571C8B" w:rsidRPr="00571C8B" w:rsidRDefault="00571C8B" w:rsidP="00F25C28">
            <w:pPr>
              <w:keepNext/>
              <w:keepLines/>
              <w:rPr>
                <w:rFonts w:cs="Times New Roman"/>
                <w:szCs w:val="24"/>
                <w:lang w:val="en-GB"/>
              </w:rPr>
            </w:pPr>
            <w:r w:rsidRPr="00571C8B">
              <w:rPr>
                <w:rFonts w:cs="Times New Roman"/>
                <w:szCs w:val="24"/>
                <w:lang w:val="en-GB"/>
              </w:rPr>
              <w:t xml:space="preserve">2.5. </w:t>
            </w:r>
            <w:r w:rsidRPr="0018359B">
              <w:rPr>
                <w:lang w:val="en-GB"/>
              </w:rPr>
              <w:t>Energy</w:t>
            </w:r>
          </w:p>
        </w:tc>
        <w:tc>
          <w:tcPr>
            <w:tcW w:w="1566" w:type="dxa"/>
            <w:gridSpan w:val="3"/>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0.29</w:t>
            </w:r>
          </w:p>
        </w:tc>
        <w:tc>
          <w:tcPr>
            <w:tcW w:w="1728" w:type="dxa"/>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0.28</w:t>
            </w:r>
          </w:p>
        </w:tc>
        <w:tc>
          <w:tcPr>
            <w:tcW w:w="1631"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2.61</w:t>
            </w:r>
          </w:p>
        </w:tc>
        <w:tc>
          <w:tcPr>
            <w:tcW w:w="1618" w:type="dxa"/>
            <w:gridSpan w:val="2"/>
            <w:vAlign w:val="center"/>
          </w:tcPr>
          <w:p w:rsidR="00571C8B" w:rsidRPr="00571C8B" w:rsidRDefault="00571C8B" w:rsidP="00F25C28">
            <w:pPr>
              <w:keepNext/>
              <w:keepLines/>
              <w:jc w:val="center"/>
              <w:rPr>
                <w:rFonts w:cs="Times New Roman"/>
                <w:szCs w:val="24"/>
                <w:lang w:val="en-GB"/>
              </w:rPr>
            </w:pPr>
            <w:r w:rsidRPr="00571C8B">
              <w:rPr>
                <w:rFonts w:cs="Times New Roman"/>
                <w:szCs w:val="24"/>
                <w:lang w:val="en-GB"/>
              </w:rPr>
              <w:t>8</w:t>
            </w:r>
          </w:p>
        </w:tc>
      </w:tr>
    </w:tbl>
    <w:p w:rsidR="00571C8B" w:rsidRPr="00D31979" w:rsidRDefault="00571C8B" w:rsidP="00571C8B">
      <w:pPr>
        <w:keepNext/>
        <w:keepLines/>
        <w:spacing w:after="0"/>
        <w:rPr>
          <w:i/>
          <w:lang w:val="en-GB"/>
        </w:rPr>
      </w:pPr>
      <w:r w:rsidRPr="00D31979">
        <w:rPr>
          <w:i/>
          <w:lang w:val="en-GB"/>
        </w:rPr>
        <w:t xml:space="preserve">* Policy multiplier calculated </w:t>
      </w:r>
      <w:r>
        <w:rPr>
          <w:i/>
          <w:lang w:val="en-GB"/>
        </w:rPr>
        <w:t xml:space="preserve">as in </w:t>
      </w:r>
      <w:r w:rsidRPr="00D31979">
        <w:rPr>
          <w:i/>
          <w:lang w:val="en-GB"/>
        </w:rPr>
        <w:t xml:space="preserve">equation (3.1), return to 1 invested lat calculated </w:t>
      </w:r>
      <w:r>
        <w:rPr>
          <w:i/>
          <w:lang w:val="en-GB"/>
        </w:rPr>
        <w:t xml:space="preserve">as in </w:t>
      </w:r>
      <w:r w:rsidRPr="00D31979">
        <w:rPr>
          <w:i/>
          <w:lang w:val="en-GB"/>
        </w:rPr>
        <w:t>equation (3.2)</w:t>
      </w:r>
      <w:r w:rsidR="004E78EE">
        <w:rPr>
          <w:i/>
          <w:lang w:val="en-GB"/>
        </w:rPr>
        <w:t xml:space="preserve">. 2007-2013 funds include EU structural funds, </w:t>
      </w:r>
      <w:r w:rsidR="00297E37" w:rsidRPr="00297E37">
        <w:rPr>
          <w:i/>
          <w:lang w:val="en-GB"/>
        </w:rPr>
        <w:t>European Agricultural Fund for Rural Developme</w:t>
      </w:r>
      <w:r w:rsidR="00297E37">
        <w:rPr>
          <w:i/>
          <w:lang w:val="en-GB"/>
        </w:rPr>
        <w:t xml:space="preserve">nt, European Fisheries Fund, </w:t>
      </w:r>
      <w:r w:rsidR="004E78EE" w:rsidRPr="004E78EE">
        <w:rPr>
          <w:i/>
          <w:lang w:val="en-GB"/>
        </w:rPr>
        <w:t>Objective 3 “Territorial Cooperation” of the EU Cohesion Policy, Norwegian Bilateral Financial Instrument and Swiss-Latvian cooperation programme.</w:t>
      </w:r>
    </w:p>
    <w:p w:rsidR="00571C8B" w:rsidRPr="00D31979" w:rsidRDefault="00571C8B" w:rsidP="00571C8B">
      <w:pPr>
        <w:keepLines/>
        <w:rPr>
          <w:i/>
          <w:lang w:val="en-GB"/>
        </w:rPr>
      </w:pPr>
      <w:r w:rsidRPr="00D31979">
        <w:rPr>
          <w:i/>
          <w:lang w:val="en-GB"/>
        </w:rPr>
        <w:t>Source: authors’ calculations</w:t>
      </w:r>
    </w:p>
    <w:p w:rsidR="00571C8B" w:rsidRDefault="006C3F0E" w:rsidP="00E3169C">
      <w:pPr>
        <w:rPr>
          <w:lang w:val="en-GB"/>
        </w:rPr>
      </w:pPr>
      <w:r>
        <w:rPr>
          <w:lang w:val="en-GB"/>
        </w:rPr>
        <w:t>Another reason for the high return on investment in e</w:t>
      </w:r>
      <w:r w:rsidRPr="006C3F0E">
        <w:rPr>
          <w:lang w:val="en-GB"/>
        </w:rPr>
        <w:t>nvironmental protection and risk reduction</w:t>
      </w:r>
      <w:r>
        <w:rPr>
          <w:lang w:val="en-GB"/>
        </w:rPr>
        <w:t xml:space="preserve"> is a high share of investment in physical infrastructure in industry, which is a capital-intensive sector. The estimated return on the priority “</w:t>
      </w:r>
      <w:r w:rsidRPr="0018359B">
        <w:rPr>
          <w:lang w:val="en-GB"/>
        </w:rPr>
        <w:t>Human capital, employment, social integration</w:t>
      </w:r>
      <w:r>
        <w:rPr>
          <w:lang w:val="en-GB"/>
        </w:rPr>
        <w:t>” is 10.38 lats on one invested lat, which is fourth highest return. A</w:t>
      </w:r>
      <w:r w:rsidRPr="00D31979">
        <w:rPr>
          <w:lang w:val="en-GB"/>
        </w:rPr>
        <w:t>lthough a substantial share of investment within the framework of this priority (23%) is investment in human capital, the priority also involves significant investment in social infrastructure</w:t>
      </w:r>
      <w:r>
        <w:rPr>
          <w:lang w:val="en-GB"/>
        </w:rPr>
        <w:t>, thus ensuring a significantly higher return than the 2004-2006 planning period priority “</w:t>
      </w:r>
      <w:r w:rsidRPr="00870916">
        <w:rPr>
          <w:lang w:val="en-GB"/>
        </w:rPr>
        <w:t>Development of human resources and promotion of employment</w:t>
      </w:r>
      <w:r>
        <w:rPr>
          <w:lang w:val="en-GB"/>
        </w:rPr>
        <w:t>”. Investment within the priority “</w:t>
      </w:r>
      <w:r w:rsidRPr="0018359B">
        <w:rPr>
          <w:lang w:val="en-GB"/>
        </w:rPr>
        <w:t>Research and technology development</w:t>
      </w:r>
      <w:r>
        <w:rPr>
          <w:lang w:val="en-GB"/>
        </w:rPr>
        <w:t xml:space="preserve">” comprises investment in technology. Similar to investment in infrastructure, investment in technology </w:t>
      </w:r>
      <w:r w:rsidR="00FE352B">
        <w:rPr>
          <w:lang w:val="en-GB"/>
        </w:rPr>
        <w:t xml:space="preserve">generates a product that can be used by all sectors, </w:t>
      </w:r>
      <w:r w:rsidR="00AC0E0C">
        <w:rPr>
          <w:lang w:val="en-GB"/>
        </w:rPr>
        <w:t xml:space="preserve">but </w:t>
      </w:r>
      <w:r w:rsidR="00FE352B">
        <w:rPr>
          <w:lang w:val="en-GB"/>
        </w:rPr>
        <w:t xml:space="preserve"> </w:t>
      </w:r>
      <w:r w:rsidR="00AC0E0C">
        <w:rPr>
          <w:lang w:val="en-GB"/>
        </w:rPr>
        <w:t xml:space="preserve">the </w:t>
      </w:r>
      <w:r w:rsidR="00FE352B">
        <w:rPr>
          <w:lang w:val="en-GB"/>
        </w:rPr>
        <w:t xml:space="preserve">relatively low return, </w:t>
      </w:r>
      <w:r w:rsidR="00AC0E0C">
        <w:rPr>
          <w:lang w:val="en-GB"/>
        </w:rPr>
        <w:t xml:space="preserve">is a result </w:t>
      </w:r>
      <w:r w:rsidR="00FE352B">
        <w:rPr>
          <w:lang w:val="en-GB"/>
        </w:rPr>
        <w:t xml:space="preserve"> </w:t>
      </w:r>
      <w:r w:rsidR="00AC0E0C">
        <w:rPr>
          <w:lang w:val="en-GB"/>
        </w:rPr>
        <w:t xml:space="preserve">of </w:t>
      </w:r>
      <w:r w:rsidR="00FE352B">
        <w:rPr>
          <w:lang w:val="en-GB"/>
        </w:rPr>
        <w:t xml:space="preserve">the fact that introducing new technology to a production process takes time, while new infrastructure can be used </w:t>
      </w:r>
      <w:r w:rsidR="00AC0E0C">
        <w:rPr>
          <w:lang w:val="en-GB"/>
        </w:rPr>
        <w:t>more or less as soon as</w:t>
      </w:r>
      <w:r w:rsidR="00FE352B">
        <w:rPr>
          <w:lang w:val="en-GB"/>
        </w:rPr>
        <w:t xml:space="preserve">  has been created.</w:t>
      </w:r>
    </w:p>
    <w:p w:rsidR="00FE352B" w:rsidRDefault="00FE352B" w:rsidP="00E3169C">
      <w:pPr>
        <w:rPr>
          <w:lang w:val="en-GB"/>
        </w:rPr>
      </w:pPr>
      <w:r>
        <w:rPr>
          <w:lang w:val="en-GB"/>
        </w:rPr>
        <w:t>The return on investment in education (4.28 lats), i</w:t>
      </w:r>
      <w:r w:rsidRPr="0018359B">
        <w:rPr>
          <w:lang w:val="en-GB"/>
        </w:rPr>
        <w:t>nnovations and entrepreneurship</w:t>
      </w:r>
      <w:r>
        <w:rPr>
          <w:lang w:val="en-GB"/>
        </w:rPr>
        <w:t xml:space="preserve"> (4.12 lats) and energy (2.61 lats) is relatively low, because sector specific investments prevail within these priorities: education priority consists of L-type expenditures, i</w:t>
      </w:r>
      <w:r w:rsidRPr="0018359B">
        <w:rPr>
          <w:lang w:val="en-GB"/>
        </w:rPr>
        <w:t>nnovations and entrepreneurship</w:t>
      </w:r>
      <w:r>
        <w:rPr>
          <w:lang w:val="en-GB"/>
        </w:rPr>
        <w:t xml:space="preserve"> and energy mainly of K-type expenditures. </w:t>
      </w:r>
    </w:p>
    <w:p w:rsidR="00FE352B" w:rsidRDefault="00FE352B" w:rsidP="00E3169C">
      <w:pPr>
        <w:rPr>
          <w:lang w:val="en-GB"/>
        </w:rPr>
      </w:pPr>
      <w:r>
        <w:rPr>
          <w:lang w:val="en-GB"/>
        </w:rPr>
        <w:lastRenderedPageBreak/>
        <w:t xml:space="preserve">Figures 3.6 and 3.7 show decomposition by priority of the fund impact on real GDP in the 2004-2006 planning period and the 2007 -2013 planning period, respectively. In the 2004-2006 planning period, contribution of priorities to real GDP growth was quite even </w:t>
      </w:r>
      <w:r w:rsidR="006C48D3">
        <w:rPr>
          <w:lang w:val="en-GB"/>
        </w:rPr>
        <w:t>over years: contribution of the 1</w:t>
      </w:r>
      <w:r w:rsidR="006C48D3" w:rsidRPr="006C48D3">
        <w:rPr>
          <w:vertAlign w:val="superscript"/>
          <w:lang w:val="en-GB"/>
        </w:rPr>
        <w:t>st</w:t>
      </w:r>
      <w:r w:rsidR="006C48D3">
        <w:rPr>
          <w:lang w:val="en-GB"/>
        </w:rPr>
        <w:t xml:space="preserve"> priority “</w:t>
      </w:r>
      <w:r w:rsidR="006C48D3" w:rsidRPr="006C48D3">
        <w:rPr>
          <w:lang w:val="en-GB"/>
        </w:rPr>
        <w:t>Promotion of territorial cohesion</w:t>
      </w:r>
      <w:r w:rsidR="006C48D3">
        <w:rPr>
          <w:lang w:val="en-GB"/>
        </w:rPr>
        <w:t>”</w:t>
      </w:r>
      <w:r w:rsidR="006C48D3" w:rsidRPr="006C48D3">
        <w:rPr>
          <w:lang w:val="en-GB"/>
        </w:rPr>
        <w:t xml:space="preserve"> </w:t>
      </w:r>
      <w:r w:rsidR="006C48D3">
        <w:rPr>
          <w:lang w:val="en-GB"/>
        </w:rPr>
        <w:t>was the highest (57% of the fund induced GDP increase on average), contribution of the 2</w:t>
      </w:r>
      <w:r w:rsidR="006C48D3" w:rsidRPr="006C48D3">
        <w:rPr>
          <w:vertAlign w:val="superscript"/>
          <w:lang w:val="en-GB"/>
        </w:rPr>
        <w:t>nd</w:t>
      </w:r>
      <w:r w:rsidR="006C48D3">
        <w:rPr>
          <w:lang w:val="en-GB"/>
        </w:rPr>
        <w:t xml:space="preserve"> and 4</w:t>
      </w:r>
      <w:r w:rsidR="006C48D3" w:rsidRPr="006C48D3">
        <w:rPr>
          <w:vertAlign w:val="superscript"/>
          <w:lang w:val="en-GB"/>
        </w:rPr>
        <w:t>th</w:t>
      </w:r>
      <w:r w:rsidR="006C48D3">
        <w:rPr>
          <w:lang w:val="en-GB"/>
        </w:rPr>
        <w:t xml:space="preserve"> priorities was 19% and 16% on average, respectively, but contribution of the 3</w:t>
      </w:r>
      <w:r w:rsidR="006C48D3" w:rsidRPr="006C48D3">
        <w:rPr>
          <w:vertAlign w:val="superscript"/>
          <w:lang w:val="en-GB"/>
        </w:rPr>
        <w:t>rd</w:t>
      </w:r>
      <w:r w:rsidR="00297E37">
        <w:rPr>
          <w:lang w:val="en-GB"/>
        </w:rPr>
        <w:t xml:space="preserve"> priority</w:t>
      </w:r>
      <w:r w:rsidR="006C48D3">
        <w:rPr>
          <w:lang w:val="en-GB"/>
        </w:rPr>
        <w:t xml:space="preserve"> – around 3%. </w:t>
      </w:r>
    </w:p>
    <w:p w:rsidR="006C48D3" w:rsidRPr="006C48D3" w:rsidRDefault="006C48D3" w:rsidP="006C48D3">
      <w:pPr>
        <w:keepNext/>
        <w:spacing w:after="0"/>
        <w:rPr>
          <w:lang w:val="en-GB"/>
        </w:rPr>
      </w:pPr>
      <w:r>
        <w:rPr>
          <w:b/>
          <w:lang w:val="en-GB"/>
        </w:rPr>
        <w:t xml:space="preserve">Figure </w:t>
      </w:r>
      <w:r w:rsidRPr="006C48D3">
        <w:rPr>
          <w:b/>
          <w:lang w:val="en-GB"/>
        </w:rPr>
        <w:t xml:space="preserve">3.6: </w:t>
      </w:r>
      <w:r w:rsidR="00103E52">
        <w:rPr>
          <w:b/>
          <w:lang w:val="en-GB"/>
        </w:rPr>
        <w:t xml:space="preserve">Impact of the 2004-2006 planning period funds on real GDP in 2002-2011 by priority, assuming 30% crowding out, </w:t>
      </w:r>
      <w:r w:rsidRPr="006C48D3">
        <w:rPr>
          <w:b/>
          <w:lang w:val="en-GB"/>
        </w:rPr>
        <w:t>%*</w:t>
      </w:r>
    </w:p>
    <w:p w:rsidR="006C48D3" w:rsidRPr="006C48D3" w:rsidRDefault="00297E37" w:rsidP="006C48D3">
      <w:pPr>
        <w:spacing w:after="0"/>
        <w:rPr>
          <w:lang w:val="en-GB"/>
        </w:rPr>
      </w:pPr>
      <w:r>
        <w:rPr>
          <w:noProof/>
          <w:lang w:val="lv-LV" w:eastAsia="lv-LV"/>
        </w:rPr>
        <w:drawing>
          <wp:inline distT="0" distB="0" distL="0" distR="0" wp14:anchorId="1C2C145F">
            <wp:extent cx="3666744" cy="2203704"/>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666744" cy="2203704"/>
                    </a:xfrm>
                    <a:prstGeom prst="rect">
                      <a:avLst/>
                    </a:prstGeom>
                    <a:noFill/>
                  </pic:spPr>
                </pic:pic>
              </a:graphicData>
            </a:graphic>
          </wp:inline>
        </w:drawing>
      </w:r>
    </w:p>
    <w:p w:rsidR="00103E52" w:rsidRPr="00D31979" w:rsidRDefault="00103E52" w:rsidP="00103E52">
      <w:pPr>
        <w:spacing w:after="0"/>
        <w:rPr>
          <w:i/>
          <w:sz w:val="20"/>
          <w:szCs w:val="20"/>
          <w:lang w:val="en-GB"/>
        </w:rPr>
      </w:pPr>
      <w:r w:rsidRPr="00D31979">
        <w:rPr>
          <w:i/>
          <w:sz w:val="20"/>
          <w:szCs w:val="20"/>
          <w:lang w:val="en-GB"/>
        </w:rPr>
        <w:t>* The impact calculated according to formula (3.3). The fund investment included in the calculations comprise</w:t>
      </w:r>
      <w:r>
        <w:rPr>
          <w:i/>
          <w:sz w:val="20"/>
          <w:szCs w:val="20"/>
          <w:lang w:val="en-GB"/>
        </w:rPr>
        <w:t>s</w:t>
      </w:r>
      <w:r w:rsidRPr="00D31979">
        <w:rPr>
          <w:i/>
          <w:sz w:val="20"/>
          <w:szCs w:val="20"/>
          <w:lang w:val="en-GB"/>
        </w:rPr>
        <w:t xml:space="preserve"> the </w:t>
      </w:r>
      <w:r w:rsidR="00297E37">
        <w:rPr>
          <w:i/>
          <w:sz w:val="20"/>
          <w:szCs w:val="20"/>
          <w:lang w:val="en-GB"/>
        </w:rPr>
        <w:t>fund</w:t>
      </w:r>
      <w:r w:rsidRPr="00D31979">
        <w:rPr>
          <w:i/>
          <w:sz w:val="20"/>
          <w:szCs w:val="20"/>
          <w:lang w:val="en-GB"/>
        </w:rPr>
        <w:t xml:space="preserve"> financing, national public and private co-financing.</w:t>
      </w:r>
    </w:p>
    <w:p w:rsidR="00103E52" w:rsidRPr="00D31979" w:rsidRDefault="00103E52" w:rsidP="00103E52">
      <w:pPr>
        <w:spacing w:after="120"/>
        <w:rPr>
          <w:i/>
          <w:sz w:val="20"/>
          <w:szCs w:val="20"/>
          <w:lang w:val="en-GB"/>
        </w:rPr>
      </w:pPr>
      <w:r w:rsidRPr="00D31979">
        <w:rPr>
          <w:i/>
          <w:sz w:val="20"/>
          <w:szCs w:val="20"/>
          <w:lang w:val="en-GB"/>
        </w:rPr>
        <w:t>Source: authors’ calculations</w:t>
      </w:r>
    </w:p>
    <w:p w:rsidR="006C48D3" w:rsidRDefault="00103E52" w:rsidP="00E3169C">
      <w:pPr>
        <w:rPr>
          <w:lang w:val="en-GB"/>
        </w:rPr>
      </w:pPr>
      <w:r w:rsidRPr="00103E52">
        <w:rPr>
          <w:lang w:val="en-GB"/>
        </w:rPr>
        <w:t>In t</w:t>
      </w:r>
      <w:r>
        <w:rPr>
          <w:lang w:val="en-GB"/>
        </w:rPr>
        <w:t>he 2007-2013 planning period, the priorities ensuring biggest contribution (43% of real GDP increase on average, see Fig 3.7) was the 4</w:t>
      </w:r>
      <w:r w:rsidRPr="00103E52">
        <w:rPr>
          <w:vertAlign w:val="superscript"/>
          <w:lang w:val="en-GB"/>
        </w:rPr>
        <w:t>th</w:t>
      </w:r>
      <w:r>
        <w:rPr>
          <w:lang w:val="en-GB"/>
        </w:rPr>
        <w:t xml:space="preserve"> priority “Transport”, the 6</w:t>
      </w:r>
      <w:r w:rsidRPr="00103E52">
        <w:rPr>
          <w:vertAlign w:val="superscript"/>
          <w:lang w:val="en-GB"/>
        </w:rPr>
        <w:t>th</w:t>
      </w:r>
      <w:r>
        <w:rPr>
          <w:lang w:val="en-GB"/>
        </w:rPr>
        <w:t xml:space="preserve"> priority “</w:t>
      </w:r>
      <w:r w:rsidRPr="00103E52">
        <w:rPr>
          <w:lang w:val="en-GB"/>
        </w:rPr>
        <w:t>Environmental protection and risk reduction</w:t>
      </w:r>
      <w:r>
        <w:rPr>
          <w:lang w:val="en-GB"/>
        </w:rPr>
        <w:t>” (20%) and the 7</w:t>
      </w:r>
      <w:r w:rsidRPr="00103E52">
        <w:rPr>
          <w:vertAlign w:val="superscript"/>
          <w:lang w:val="en-GB"/>
        </w:rPr>
        <w:t>th</w:t>
      </w:r>
      <w:r>
        <w:rPr>
          <w:lang w:val="en-GB"/>
        </w:rPr>
        <w:t xml:space="preserve"> priority “</w:t>
      </w:r>
      <w:r w:rsidRPr="0018359B">
        <w:rPr>
          <w:lang w:val="en-GB"/>
        </w:rPr>
        <w:t>Human capital, employment, social integration</w:t>
      </w:r>
      <w:r>
        <w:rPr>
          <w:lang w:val="en-GB"/>
        </w:rPr>
        <w:t>” (17%). The big contribution of these priorities is ensured both by their relatively high return and a large weight in total fund expenditures in the 2007-2013 planning period. Decomposition of the fund impact on real GDP by priority is summarized in tables P.</w:t>
      </w:r>
      <w:r w:rsidR="00297E37">
        <w:rPr>
          <w:lang w:val="en-GB"/>
        </w:rPr>
        <w:t>3 and P.4</w:t>
      </w:r>
      <w:r>
        <w:rPr>
          <w:lang w:val="en-GB"/>
        </w:rPr>
        <w:t xml:space="preserve"> in the Annex.</w:t>
      </w:r>
    </w:p>
    <w:p w:rsidR="00103E52" w:rsidRPr="006C48D3" w:rsidRDefault="00103E52" w:rsidP="00103E52">
      <w:pPr>
        <w:keepNext/>
        <w:spacing w:after="0"/>
        <w:rPr>
          <w:lang w:val="en-GB"/>
        </w:rPr>
      </w:pPr>
      <w:r>
        <w:rPr>
          <w:b/>
          <w:lang w:val="en-GB"/>
        </w:rPr>
        <w:lastRenderedPageBreak/>
        <w:t xml:space="preserve">Figure </w:t>
      </w:r>
      <w:r w:rsidRPr="006C48D3">
        <w:rPr>
          <w:b/>
          <w:lang w:val="en-GB"/>
        </w:rPr>
        <w:t>3.</w:t>
      </w:r>
      <w:r>
        <w:rPr>
          <w:b/>
          <w:lang w:val="en-GB"/>
        </w:rPr>
        <w:t>7</w:t>
      </w:r>
      <w:r w:rsidRPr="006C48D3">
        <w:rPr>
          <w:b/>
          <w:lang w:val="en-GB"/>
        </w:rPr>
        <w:t xml:space="preserve">: </w:t>
      </w:r>
      <w:r>
        <w:rPr>
          <w:b/>
          <w:lang w:val="en-GB"/>
        </w:rPr>
        <w:t xml:space="preserve">Impact of the 2007-2013 planning period funds on real GDP in 2007-2020 by priority, assuming 30% crowding out, </w:t>
      </w:r>
      <w:r w:rsidRPr="006C48D3">
        <w:rPr>
          <w:b/>
          <w:lang w:val="en-GB"/>
        </w:rPr>
        <w:t>%*</w:t>
      </w:r>
    </w:p>
    <w:p w:rsidR="00103E52" w:rsidRPr="00297E37" w:rsidRDefault="00297E37" w:rsidP="00103E52">
      <w:pPr>
        <w:keepNext/>
        <w:spacing w:after="0"/>
        <w:rPr>
          <w:lang w:val="en-GB"/>
        </w:rPr>
      </w:pPr>
      <w:r>
        <w:rPr>
          <w:noProof/>
          <w:lang w:val="lv-LV" w:eastAsia="lv-LV"/>
        </w:rPr>
        <w:drawing>
          <wp:inline distT="0" distB="0" distL="0" distR="0" wp14:anchorId="0775F938">
            <wp:extent cx="3666744" cy="2203704"/>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666744" cy="2203704"/>
                    </a:xfrm>
                    <a:prstGeom prst="rect">
                      <a:avLst/>
                    </a:prstGeom>
                    <a:noFill/>
                  </pic:spPr>
                </pic:pic>
              </a:graphicData>
            </a:graphic>
          </wp:inline>
        </w:drawing>
      </w:r>
    </w:p>
    <w:p w:rsidR="00103E52" w:rsidRPr="00D31979" w:rsidRDefault="00103E52" w:rsidP="00103E52">
      <w:pPr>
        <w:spacing w:after="0"/>
        <w:rPr>
          <w:i/>
          <w:sz w:val="20"/>
          <w:szCs w:val="20"/>
          <w:lang w:val="en-GB"/>
        </w:rPr>
      </w:pPr>
      <w:r w:rsidRPr="00D31979">
        <w:rPr>
          <w:i/>
          <w:sz w:val="20"/>
          <w:szCs w:val="20"/>
          <w:lang w:val="en-GB"/>
        </w:rPr>
        <w:t>* The impact calculated according to formula (3.3). The fund investment included in the calculations comprise</w:t>
      </w:r>
      <w:r>
        <w:rPr>
          <w:i/>
          <w:sz w:val="20"/>
          <w:szCs w:val="20"/>
          <w:lang w:val="en-GB"/>
        </w:rPr>
        <w:t>s</w:t>
      </w:r>
      <w:r w:rsidRPr="00D31979">
        <w:rPr>
          <w:i/>
          <w:sz w:val="20"/>
          <w:szCs w:val="20"/>
          <w:lang w:val="en-GB"/>
        </w:rPr>
        <w:t xml:space="preserve"> the </w:t>
      </w:r>
      <w:r w:rsidR="00297E37">
        <w:rPr>
          <w:i/>
          <w:sz w:val="20"/>
          <w:szCs w:val="20"/>
          <w:lang w:val="en-GB"/>
        </w:rPr>
        <w:t>fund</w:t>
      </w:r>
      <w:r w:rsidRPr="00D31979">
        <w:rPr>
          <w:i/>
          <w:sz w:val="20"/>
          <w:szCs w:val="20"/>
          <w:lang w:val="en-GB"/>
        </w:rPr>
        <w:t xml:space="preserve"> financing, national public and private co-financing.</w:t>
      </w:r>
    </w:p>
    <w:p w:rsidR="00103E52" w:rsidRPr="00D31979" w:rsidRDefault="00103E52" w:rsidP="00103E52">
      <w:pPr>
        <w:spacing w:after="120"/>
        <w:rPr>
          <w:i/>
          <w:sz w:val="20"/>
          <w:szCs w:val="20"/>
          <w:lang w:val="en-GB"/>
        </w:rPr>
      </w:pPr>
      <w:r w:rsidRPr="00D31979">
        <w:rPr>
          <w:i/>
          <w:sz w:val="20"/>
          <w:szCs w:val="20"/>
          <w:lang w:val="en-GB"/>
        </w:rPr>
        <w:t>Source: authors’ calculations</w:t>
      </w:r>
    </w:p>
    <w:p w:rsidR="00103E52" w:rsidRDefault="00103E52" w:rsidP="00103E52">
      <w:pPr>
        <w:rPr>
          <w:lang w:val="lv-LV"/>
        </w:rPr>
      </w:pPr>
    </w:p>
    <w:p w:rsidR="00103E52" w:rsidRPr="00103E52" w:rsidRDefault="00103E52" w:rsidP="00E3169C">
      <w:pPr>
        <w:rPr>
          <w:lang w:val="lv-LV"/>
        </w:rPr>
      </w:pPr>
    </w:p>
    <w:p w:rsidR="00103E52" w:rsidRDefault="00103E52">
      <w:pPr>
        <w:jc w:val="left"/>
        <w:rPr>
          <w:lang w:val="en-GB"/>
        </w:rPr>
      </w:pPr>
      <w:r>
        <w:rPr>
          <w:lang w:val="en-GB"/>
        </w:rPr>
        <w:br w:type="page"/>
      </w:r>
    </w:p>
    <w:p w:rsidR="000F0204" w:rsidRPr="00D31979" w:rsidRDefault="0038353C" w:rsidP="00FC6076">
      <w:pPr>
        <w:pStyle w:val="Heading1"/>
        <w:rPr>
          <w:lang w:val="en-GB"/>
        </w:rPr>
      </w:pPr>
      <w:bookmarkStart w:id="11" w:name="_Toc312172609"/>
      <w:r w:rsidRPr="00D31979">
        <w:rPr>
          <w:lang w:val="en-GB"/>
        </w:rPr>
        <w:lastRenderedPageBreak/>
        <w:t>Conclusion</w:t>
      </w:r>
      <w:r w:rsidR="00E93F91">
        <w:rPr>
          <w:lang w:val="en-GB"/>
        </w:rPr>
        <w:t>s</w:t>
      </w:r>
      <w:bookmarkEnd w:id="11"/>
    </w:p>
    <w:p w:rsidR="006B01EC" w:rsidRDefault="00AC0E0C" w:rsidP="005E09FD">
      <w:pPr>
        <w:rPr>
          <w:lang w:val="en-GB"/>
        </w:rPr>
      </w:pPr>
      <w:r>
        <w:rPr>
          <w:lang w:val="en-GB"/>
        </w:rPr>
        <w:t xml:space="preserve">The modelling exercise reported here suggests that </w:t>
      </w:r>
      <w:r w:rsidR="00577861" w:rsidRPr="00D31979">
        <w:rPr>
          <w:lang w:val="en-GB"/>
        </w:rPr>
        <w:t>investment</w:t>
      </w:r>
      <w:r w:rsidR="0018359B" w:rsidRPr="00D31979">
        <w:rPr>
          <w:lang w:val="en-GB"/>
        </w:rPr>
        <w:t xml:space="preserve"> co-financed from funds</w:t>
      </w:r>
      <w:r w:rsidR="00297E37">
        <w:rPr>
          <w:rStyle w:val="FootnoteReference"/>
          <w:lang w:val="en-GB"/>
        </w:rPr>
        <w:footnoteReference w:id="4"/>
      </w:r>
      <w:r w:rsidR="0018359B" w:rsidRPr="00D31979">
        <w:rPr>
          <w:lang w:val="en-GB"/>
        </w:rPr>
        <w:t xml:space="preserve"> has</w:t>
      </w:r>
      <w:r w:rsidR="005E09FD" w:rsidRPr="00D31979">
        <w:rPr>
          <w:lang w:val="en-GB"/>
        </w:rPr>
        <w:t xml:space="preserve"> generated </w:t>
      </w:r>
      <w:r>
        <w:rPr>
          <w:lang w:val="en-GB"/>
        </w:rPr>
        <w:t xml:space="preserve">a </w:t>
      </w:r>
      <w:r w:rsidR="005E09FD" w:rsidRPr="00D31979">
        <w:rPr>
          <w:lang w:val="en-GB"/>
        </w:rPr>
        <w:t xml:space="preserve">significant stimulating </w:t>
      </w:r>
      <w:r w:rsidR="00577861">
        <w:rPr>
          <w:lang w:val="en-GB"/>
        </w:rPr>
        <w:t xml:space="preserve">impact </w:t>
      </w:r>
      <w:r w:rsidR="00577861" w:rsidRPr="00D31979">
        <w:rPr>
          <w:lang w:val="en-GB"/>
        </w:rPr>
        <w:t>on</w:t>
      </w:r>
      <w:r w:rsidR="005E09FD" w:rsidRPr="00D31979">
        <w:rPr>
          <w:lang w:val="en-GB"/>
        </w:rPr>
        <w:t xml:space="preserve"> economic activity</w:t>
      </w:r>
      <w:r w:rsidR="00723367" w:rsidRPr="00D31979">
        <w:rPr>
          <w:lang w:val="en-GB"/>
        </w:rPr>
        <w:t>,</w:t>
      </w:r>
      <w:r w:rsidR="005E09FD" w:rsidRPr="00D31979">
        <w:rPr>
          <w:lang w:val="en-GB"/>
        </w:rPr>
        <w:t xml:space="preserve"> and it can be </w:t>
      </w:r>
      <w:r w:rsidR="0018359B" w:rsidRPr="00D31979">
        <w:rPr>
          <w:lang w:val="en-GB"/>
        </w:rPr>
        <w:t>expected</w:t>
      </w:r>
      <w:r w:rsidR="005E09FD" w:rsidRPr="00D31979">
        <w:rPr>
          <w:lang w:val="en-GB"/>
        </w:rPr>
        <w:t xml:space="preserve"> that this </w:t>
      </w:r>
      <w:r>
        <w:rPr>
          <w:lang w:val="en-GB"/>
        </w:rPr>
        <w:t>impact</w:t>
      </w:r>
      <w:r w:rsidR="005E09FD" w:rsidRPr="00D31979">
        <w:rPr>
          <w:lang w:val="en-GB"/>
        </w:rPr>
        <w:t xml:space="preserve"> will continue. </w:t>
      </w:r>
      <w:r w:rsidR="006B01EC">
        <w:rPr>
          <w:lang w:val="en-GB"/>
        </w:rPr>
        <w:t xml:space="preserve">The impact </w:t>
      </w:r>
      <w:r>
        <w:rPr>
          <w:lang w:val="en-GB"/>
        </w:rPr>
        <w:t xml:space="preserve">has </w:t>
      </w:r>
      <w:r w:rsidR="00577861">
        <w:rPr>
          <w:lang w:val="en-GB"/>
        </w:rPr>
        <w:t>been estimated</w:t>
      </w:r>
      <w:r w:rsidR="006B01EC">
        <w:rPr>
          <w:lang w:val="en-GB"/>
        </w:rPr>
        <w:t xml:space="preserve"> under alternative assumptions about the extent of crowding out: (i) assuming 15% crowding out, (ii) 30% (</w:t>
      </w:r>
      <w:r w:rsidR="00FB6659">
        <w:rPr>
          <w:lang w:val="en-GB"/>
        </w:rPr>
        <w:t>central</w:t>
      </w:r>
      <w:r w:rsidR="006B01EC">
        <w:rPr>
          <w:lang w:val="en-GB"/>
        </w:rPr>
        <w:t xml:space="preserve"> scenario) and (iii) 50% crowding out. Since t</w:t>
      </w:r>
      <w:r w:rsidR="006B01EC" w:rsidRPr="006B01EC">
        <w:rPr>
          <w:lang w:val="en-GB"/>
        </w:rPr>
        <w:t>here is no unique internationally accepted way of summing up the return of the funds in a single indicator</w:t>
      </w:r>
      <w:r w:rsidR="006B01EC">
        <w:rPr>
          <w:lang w:val="en-GB"/>
        </w:rPr>
        <w:t xml:space="preserve">, we have calculated several alternative indicators that describe the impact of the funds. First, </w:t>
      </w:r>
      <w:r w:rsidR="00577861">
        <w:rPr>
          <w:lang w:val="en-GB"/>
        </w:rPr>
        <w:t>we calculated</w:t>
      </w:r>
      <w:r w:rsidR="006B01EC">
        <w:rPr>
          <w:lang w:val="en-GB"/>
        </w:rPr>
        <w:t xml:space="preserve"> policy multipliers, which characterise the present value of accumulated annual GDP gains per one invested lat. Second, </w:t>
      </w:r>
      <w:r>
        <w:rPr>
          <w:lang w:val="en-GB"/>
        </w:rPr>
        <w:t>we have</w:t>
      </w:r>
      <w:r w:rsidR="006B01EC">
        <w:rPr>
          <w:lang w:val="en-GB"/>
        </w:rPr>
        <w:t xml:space="preserve"> calculated </w:t>
      </w:r>
      <w:r>
        <w:rPr>
          <w:lang w:val="en-GB"/>
        </w:rPr>
        <w:t xml:space="preserve">the </w:t>
      </w:r>
      <w:r w:rsidR="006B01EC">
        <w:rPr>
          <w:lang w:val="en-GB"/>
        </w:rPr>
        <w:t>overall accrued impact on real GDP per one invested lat. An</w:t>
      </w:r>
      <w:r w:rsidR="00CE3A1A">
        <w:rPr>
          <w:lang w:val="en-GB"/>
        </w:rPr>
        <w:t>d</w:t>
      </w:r>
      <w:r w:rsidR="006B01EC">
        <w:rPr>
          <w:lang w:val="en-GB"/>
        </w:rPr>
        <w:t xml:space="preserve"> third,</w:t>
      </w:r>
      <w:r>
        <w:rPr>
          <w:lang w:val="en-GB"/>
        </w:rPr>
        <w:t xml:space="preserve"> we have reported </w:t>
      </w:r>
      <w:r w:rsidR="00CE3A1A">
        <w:rPr>
          <w:lang w:val="en-GB"/>
        </w:rPr>
        <w:t xml:space="preserve">the </w:t>
      </w:r>
      <w:r w:rsidR="006B01EC">
        <w:rPr>
          <w:lang w:val="en-GB"/>
        </w:rPr>
        <w:t xml:space="preserve">estimated time paths of the fund impacts on the main macroeconomic variables. </w:t>
      </w:r>
      <w:r>
        <w:rPr>
          <w:lang w:val="en-GB"/>
        </w:rPr>
        <w:t>It should again be emphasised here that the ‘rates of return’ reported here cannot be interpreted as the same kind of rates of return that characterise investment in a micro-level project or in cost-benefit analysis</w:t>
      </w:r>
      <w:r w:rsidR="00CE3A1A">
        <w:rPr>
          <w:lang w:val="en-GB"/>
        </w:rPr>
        <w:t>.</w:t>
      </w:r>
    </w:p>
    <w:p w:rsidR="006B01EC" w:rsidRDefault="006B01EC" w:rsidP="005E09FD">
      <w:pPr>
        <w:rPr>
          <w:lang w:val="en-GB"/>
        </w:rPr>
      </w:pPr>
      <w:r>
        <w:rPr>
          <w:lang w:val="en-GB"/>
        </w:rPr>
        <w:t xml:space="preserve">Our results suggest that the policy multiplier in the 2004-2006 planning period (assuming 30% crowding out and </w:t>
      </w:r>
      <w:r w:rsidR="00AC0E0C">
        <w:rPr>
          <w:lang w:val="en-GB"/>
        </w:rPr>
        <w:t xml:space="preserve">a </w:t>
      </w:r>
      <w:r>
        <w:rPr>
          <w:lang w:val="en-GB"/>
        </w:rPr>
        <w:t xml:space="preserve">5% discount rate) was 0.88, while the return on one invested lat amounted to 3.67 lats. The estimated policy multiplier in the 2007-2013 planning period is 1.18, but the return on one invested lat is 12.25. The </w:t>
      </w:r>
      <w:r w:rsidRPr="00D31979">
        <w:rPr>
          <w:lang w:val="en-GB"/>
        </w:rPr>
        <w:t xml:space="preserve">funds </w:t>
      </w:r>
      <w:r>
        <w:rPr>
          <w:lang w:val="en-GB"/>
        </w:rPr>
        <w:t xml:space="preserve">have </w:t>
      </w:r>
      <w:r w:rsidRPr="00D31979">
        <w:rPr>
          <w:lang w:val="en-GB"/>
        </w:rPr>
        <w:t>particularly promoted GDP growth in the crisis years</w:t>
      </w:r>
      <w:r>
        <w:rPr>
          <w:lang w:val="en-GB"/>
        </w:rPr>
        <w:t>, when the inflow of funds intensified strongly</w:t>
      </w:r>
      <w:r w:rsidR="002B281A">
        <w:rPr>
          <w:rStyle w:val="FootnoteReference"/>
          <w:lang w:val="en-GB"/>
        </w:rPr>
        <w:footnoteReference w:id="5"/>
      </w:r>
      <w:r>
        <w:rPr>
          <w:lang w:val="en-GB"/>
        </w:rPr>
        <w:t xml:space="preserve">. According to our results, the maximum impact on real GDP (8.7%) </w:t>
      </w:r>
      <w:r w:rsidR="002B281A">
        <w:rPr>
          <w:lang w:val="en-GB"/>
        </w:rPr>
        <w:t xml:space="preserve">has </w:t>
      </w:r>
      <w:r w:rsidR="00577861">
        <w:rPr>
          <w:lang w:val="en-GB"/>
        </w:rPr>
        <w:t>been achieved</w:t>
      </w:r>
      <w:r>
        <w:rPr>
          <w:lang w:val="en-GB"/>
        </w:rPr>
        <w:t xml:space="preserve"> in 2011. On the supply side</w:t>
      </w:r>
      <w:r w:rsidR="004B282D">
        <w:rPr>
          <w:lang w:val="en-GB"/>
        </w:rPr>
        <w:t>,</w:t>
      </w:r>
      <w:r w:rsidR="004B282D" w:rsidRPr="004B282D">
        <w:rPr>
          <w:lang w:val="en-GB"/>
        </w:rPr>
        <w:t xml:space="preserve"> </w:t>
      </w:r>
      <w:r w:rsidR="004B282D" w:rsidRPr="00D31979">
        <w:rPr>
          <w:lang w:val="en-GB"/>
        </w:rPr>
        <w:t xml:space="preserve">the greatest positive impact can be observed in the private service and construction sectors, which can be explained by the funds’ positive effect on incomes, which stimulate private consumption and investment. </w:t>
      </w:r>
      <w:r w:rsidR="00FB6659">
        <w:rPr>
          <w:lang w:val="en-GB"/>
        </w:rPr>
        <w:t>F</w:t>
      </w:r>
      <w:r w:rsidR="004B282D" w:rsidRPr="00D31979">
        <w:rPr>
          <w:lang w:val="en-GB"/>
        </w:rPr>
        <w:t>unds significantly increase labour productivity and real incomes, but the impact on consumer prices is moderate.</w:t>
      </w:r>
    </w:p>
    <w:p w:rsidR="004B282D" w:rsidRDefault="004B282D" w:rsidP="005E09FD">
      <w:pPr>
        <w:rPr>
          <w:lang w:val="en-GB"/>
        </w:rPr>
      </w:pPr>
      <w:r>
        <w:rPr>
          <w:lang w:val="en-GB"/>
        </w:rPr>
        <w:t xml:space="preserve">When looked at by priority, </w:t>
      </w:r>
      <w:r w:rsidRPr="00D31979">
        <w:rPr>
          <w:lang w:val="en-GB"/>
        </w:rPr>
        <w:t>investment in promoting territorial cohesion</w:t>
      </w:r>
      <w:r>
        <w:rPr>
          <w:lang w:val="en-GB"/>
        </w:rPr>
        <w:t xml:space="preserve"> (</w:t>
      </w:r>
      <w:r w:rsidR="00FB6659">
        <w:rPr>
          <w:lang w:val="en-GB"/>
        </w:rPr>
        <w:t xml:space="preserve">policy multiplier of </w:t>
      </w:r>
      <w:r>
        <w:rPr>
          <w:lang w:val="en-GB"/>
        </w:rPr>
        <w:t>1.84</w:t>
      </w:r>
      <w:r w:rsidR="00FB6659">
        <w:rPr>
          <w:lang w:val="en-GB"/>
        </w:rPr>
        <w:t xml:space="preserve">, return on one invested lat of </w:t>
      </w:r>
      <w:r>
        <w:rPr>
          <w:lang w:val="en-GB"/>
        </w:rPr>
        <w:t xml:space="preserve">7.47) </w:t>
      </w:r>
      <w:r w:rsidRPr="00D31979">
        <w:rPr>
          <w:lang w:val="en-GB"/>
        </w:rPr>
        <w:t xml:space="preserve">had the greatest return in the </w:t>
      </w:r>
      <w:r>
        <w:rPr>
          <w:lang w:val="en-GB"/>
        </w:rPr>
        <w:t xml:space="preserve">2004-2006 </w:t>
      </w:r>
      <w:r w:rsidRPr="00D31979">
        <w:rPr>
          <w:lang w:val="en-GB"/>
        </w:rPr>
        <w:t>planning period</w:t>
      </w:r>
      <w:r>
        <w:rPr>
          <w:lang w:val="en-GB"/>
        </w:rPr>
        <w:t xml:space="preserve">, while investment </w:t>
      </w:r>
      <w:r w:rsidRPr="00D31979">
        <w:rPr>
          <w:lang w:val="en-GB"/>
        </w:rPr>
        <w:t>in transport infrastructure</w:t>
      </w:r>
      <w:r>
        <w:rPr>
          <w:lang w:val="en-GB"/>
        </w:rPr>
        <w:t xml:space="preserve"> </w:t>
      </w:r>
      <w:r w:rsidRPr="004B282D">
        <w:rPr>
          <w:lang w:val="en-GB"/>
        </w:rPr>
        <w:t xml:space="preserve">(2.09 </w:t>
      </w:r>
      <w:r>
        <w:rPr>
          <w:lang w:val="en-GB"/>
        </w:rPr>
        <w:t xml:space="preserve">and </w:t>
      </w:r>
      <w:r w:rsidRPr="004B282D">
        <w:rPr>
          <w:lang w:val="en-GB"/>
        </w:rPr>
        <w:t>25.66</w:t>
      </w:r>
      <w:r>
        <w:rPr>
          <w:lang w:val="en-GB"/>
        </w:rPr>
        <w:t>, respectively</w:t>
      </w:r>
      <w:r w:rsidRPr="004B282D">
        <w:rPr>
          <w:lang w:val="en-GB"/>
        </w:rPr>
        <w:t>)</w:t>
      </w:r>
      <w:r>
        <w:rPr>
          <w:lang w:val="en-GB"/>
        </w:rPr>
        <w:t xml:space="preserve"> and</w:t>
      </w:r>
      <w:r w:rsidRPr="00D31979">
        <w:rPr>
          <w:lang w:val="en-GB"/>
        </w:rPr>
        <w:t xml:space="preserve"> environmental protection </w:t>
      </w:r>
      <w:r w:rsidRPr="004B282D">
        <w:rPr>
          <w:lang w:val="en-GB"/>
        </w:rPr>
        <w:t xml:space="preserve">(1.40 </w:t>
      </w:r>
      <w:r>
        <w:rPr>
          <w:lang w:val="en-GB"/>
        </w:rPr>
        <w:t>and</w:t>
      </w:r>
      <w:r w:rsidRPr="004B282D">
        <w:rPr>
          <w:lang w:val="en-GB"/>
        </w:rPr>
        <w:t xml:space="preserve"> 22.06)</w:t>
      </w:r>
      <w:r>
        <w:rPr>
          <w:lang w:val="en-GB"/>
        </w:rPr>
        <w:t xml:space="preserve"> </w:t>
      </w:r>
      <w:r w:rsidRPr="00D31979">
        <w:rPr>
          <w:lang w:val="en-GB"/>
        </w:rPr>
        <w:t xml:space="preserve">achieved the highest return in the </w:t>
      </w:r>
      <w:r>
        <w:rPr>
          <w:lang w:val="en-GB"/>
        </w:rPr>
        <w:t xml:space="preserve">2007-2013 </w:t>
      </w:r>
      <w:r w:rsidRPr="00D31979">
        <w:rPr>
          <w:lang w:val="en-GB"/>
        </w:rPr>
        <w:t>planning period.</w:t>
      </w:r>
    </w:p>
    <w:p w:rsidR="004B282D" w:rsidRPr="004B282D" w:rsidRDefault="004B282D" w:rsidP="005E09FD">
      <w:pPr>
        <w:rPr>
          <w:i/>
          <w:lang w:val="en-GB"/>
        </w:rPr>
      </w:pPr>
      <w:r w:rsidRPr="004B282D">
        <w:rPr>
          <w:i/>
          <w:lang w:val="en-GB"/>
        </w:rPr>
        <w:t xml:space="preserve">Policy recommendations </w:t>
      </w:r>
    </w:p>
    <w:p w:rsidR="004B282D" w:rsidRDefault="004B282D" w:rsidP="005E09FD">
      <w:pPr>
        <w:rPr>
          <w:lang w:val="en-GB"/>
        </w:rPr>
      </w:pPr>
      <w:r>
        <w:rPr>
          <w:lang w:val="en-GB"/>
        </w:rPr>
        <w:t>Our results suggest that the return on funds to a large extent depend</w:t>
      </w:r>
      <w:r w:rsidR="002B281A">
        <w:rPr>
          <w:lang w:val="en-GB"/>
        </w:rPr>
        <w:t>s</w:t>
      </w:r>
      <w:r>
        <w:rPr>
          <w:lang w:val="en-GB"/>
        </w:rPr>
        <w:t xml:space="preserve"> on the mix of investment types, e.g., the return on investment in human capital can be increased by making simultaneous investment in development of infrastructure. </w:t>
      </w:r>
      <w:r w:rsidR="002B281A">
        <w:rPr>
          <w:lang w:val="en-GB"/>
        </w:rPr>
        <w:t xml:space="preserve">However, it must be </w:t>
      </w:r>
      <w:r w:rsidR="00577861">
        <w:rPr>
          <w:lang w:val="en-GB"/>
        </w:rPr>
        <w:t>stressed that</w:t>
      </w:r>
      <w:r w:rsidR="002B281A">
        <w:rPr>
          <w:lang w:val="en-GB"/>
        </w:rPr>
        <w:t xml:space="preserve"> </w:t>
      </w:r>
      <w:r>
        <w:rPr>
          <w:lang w:val="en-GB"/>
        </w:rPr>
        <w:t xml:space="preserve">the use of the estimated returns on priorities to draw inferences for the future must be done </w:t>
      </w:r>
      <w:r>
        <w:rPr>
          <w:lang w:val="en-GB"/>
        </w:rPr>
        <w:lastRenderedPageBreak/>
        <w:t xml:space="preserve">very carefully, since an area where the return is high this period may not be equally good in the future. This is well known in general for the case of public infrastructure where the </w:t>
      </w:r>
      <w:r w:rsidR="002B281A">
        <w:rPr>
          <w:lang w:val="en-GB"/>
        </w:rPr>
        <w:t xml:space="preserve">international </w:t>
      </w:r>
      <w:r w:rsidR="00577861">
        <w:rPr>
          <w:lang w:val="en-GB"/>
        </w:rPr>
        <w:t>evidence on</w:t>
      </w:r>
      <w:r w:rsidR="002B281A">
        <w:rPr>
          <w:lang w:val="en-GB"/>
        </w:rPr>
        <w:t xml:space="preserve"> the </w:t>
      </w:r>
      <w:r>
        <w:rPr>
          <w:lang w:val="en-GB"/>
        </w:rPr>
        <w:t xml:space="preserve">return to such investments </w:t>
      </w:r>
      <w:r w:rsidR="00577861">
        <w:rPr>
          <w:lang w:val="en-GB"/>
        </w:rPr>
        <w:t>suggests that</w:t>
      </w:r>
      <w:r w:rsidR="002B281A">
        <w:rPr>
          <w:lang w:val="en-GB"/>
        </w:rPr>
        <w:t xml:space="preserve"> it is much lower in </w:t>
      </w:r>
      <w:r>
        <w:rPr>
          <w:lang w:val="en-GB"/>
        </w:rPr>
        <w:t>rich, developed countries</w:t>
      </w:r>
      <w:r w:rsidR="002B281A">
        <w:rPr>
          <w:lang w:val="en-GB"/>
        </w:rPr>
        <w:t xml:space="preserve"> (which already have good infrastructure)</w:t>
      </w:r>
      <w:r>
        <w:rPr>
          <w:lang w:val="en-GB"/>
        </w:rPr>
        <w:t xml:space="preserve"> than in less developed ones. </w:t>
      </w:r>
    </w:p>
    <w:p w:rsidR="001B6E23" w:rsidRDefault="001B6E23" w:rsidP="005E09FD">
      <w:pPr>
        <w:rPr>
          <w:lang w:val="en-GB"/>
        </w:rPr>
      </w:pPr>
      <w:r>
        <w:rPr>
          <w:lang w:val="en-GB"/>
        </w:rPr>
        <w:t xml:space="preserve">In order to create models that discriminate between different kinds of investments, both public and private, we need much more micro level information about these impacts. We do not have such information for Latvia. All we have is data from international studies at a rather aggregate level, which we </w:t>
      </w:r>
      <w:r w:rsidR="002B281A">
        <w:rPr>
          <w:lang w:val="en-GB"/>
        </w:rPr>
        <w:t>have adapted</w:t>
      </w:r>
      <w:r>
        <w:rPr>
          <w:lang w:val="en-GB"/>
        </w:rPr>
        <w:t xml:space="preserve"> to Latvian circumstances. It should also be stressed that a macroeconomic model does not allow taking into account uniqueness of each individual project, as it asks for aggregated funds data. The bottom line is that a macro model does only what a macro model can do, which is to evaluate macro policies and their impacts. The attempt to use it to select policy priorities can only be indicative. </w:t>
      </w:r>
    </w:p>
    <w:p w:rsidR="00444D0F" w:rsidRPr="00D31979" w:rsidRDefault="00444D0F">
      <w:pPr>
        <w:jc w:val="left"/>
        <w:rPr>
          <w:lang w:val="en-GB"/>
        </w:rPr>
      </w:pPr>
      <w:r w:rsidRPr="00D31979">
        <w:rPr>
          <w:lang w:val="en-GB"/>
        </w:rPr>
        <w:br w:type="page"/>
      </w:r>
    </w:p>
    <w:p w:rsidR="00CA1068" w:rsidRPr="00D31979" w:rsidRDefault="00444D0F" w:rsidP="00CA1068">
      <w:pPr>
        <w:pStyle w:val="Heading1"/>
        <w:numPr>
          <w:ilvl w:val="0"/>
          <w:numId w:val="0"/>
        </w:numPr>
        <w:rPr>
          <w:lang w:val="en-GB"/>
        </w:rPr>
      </w:pPr>
      <w:bookmarkStart w:id="12" w:name="_Toc312172610"/>
      <w:r w:rsidRPr="00D31979">
        <w:rPr>
          <w:lang w:val="en-GB"/>
        </w:rPr>
        <w:lastRenderedPageBreak/>
        <w:t>Bibliography</w:t>
      </w:r>
      <w:bookmarkEnd w:id="12"/>
    </w:p>
    <w:p w:rsidR="001B6E23" w:rsidRPr="00CA1068" w:rsidRDefault="001B6E23" w:rsidP="001B6E23">
      <w:pPr>
        <w:rPr>
          <w:lang w:val="lv-LV"/>
        </w:rPr>
      </w:pPr>
      <w:r w:rsidRPr="00CA1068">
        <w:rPr>
          <w:lang w:val="lv-LV"/>
        </w:rPr>
        <w:t>Baltijas Starptautiskais Ekonomikas Politikas Studiju Centrs (BICEPS) (2008a). “ES fondu makroekonomiskās ietekmes izvērtējums. Otrā posma ziņojums,” Līgums Nr.FM 2007/ERAF – 5.2.3. – 2, Rīga, 2008. gada jūnijs.</w:t>
      </w:r>
    </w:p>
    <w:p w:rsidR="001B6E23" w:rsidRDefault="001B6E23" w:rsidP="001B6E23">
      <w:pPr>
        <w:rPr>
          <w:lang w:val="lv-LV"/>
        </w:rPr>
      </w:pPr>
      <w:r w:rsidRPr="00CA1068">
        <w:rPr>
          <w:lang w:val="lv-LV"/>
        </w:rPr>
        <w:t>Baltijas Starptautiskais Ekonomikas Politikas Studiju Centrs (BICEPS) (2008b). “ES fondu makroekonomiskās ietekmes izvērtējums. Pirmā posma ziņojums,” Pakalpojuma līgums Nr. FM 2007/ERAF – 5.2.3. – 2, Rīga, 2008. gada janvāris.</w:t>
      </w:r>
    </w:p>
    <w:p w:rsidR="001B6E23" w:rsidRDefault="001B6E23" w:rsidP="001B6E23">
      <w:pPr>
        <w:rPr>
          <w:lang w:val="lv-LV"/>
        </w:rPr>
      </w:pPr>
      <w:r>
        <w:rPr>
          <w:lang w:val="lv-LV"/>
        </w:rPr>
        <w:t>Bradley, J., Petrakos, G., Traistaru, J. (2005). „</w:t>
      </w:r>
      <w:r w:rsidRPr="00546D1E">
        <w:rPr>
          <w:lang w:val="lv-LV"/>
        </w:rPr>
        <w:t>Integration, Growth, and Cohesion in an Enlarged European Union</w:t>
      </w:r>
      <w:r>
        <w:rPr>
          <w:lang w:val="lv-LV"/>
        </w:rPr>
        <w:t xml:space="preserve">”, </w:t>
      </w:r>
      <w:r w:rsidRPr="00546D1E">
        <w:rPr>
          <w:lang w:val="lv-LV"/>
        </w:rPr>
        <w:t>ZEI Studies in European Economics and Law</w:t>
      </w:r>
      <w:r>
        <w:rPr>
          <w:lang w:val="lv-LV"/>
        </w:rPr>
        <w:t>, 2005.</w:t>
      </w:r>
    </w:p>
    <w:p w:rsidR="001B6E23" w:rsidRDefault="001B6E23" w:rsidP="001B6E23">
      <w:pPr>
        <w:rPr>
          <w:lang w:val="lv-LV"/>
        </w:rPr>
      </w:pPr>
      <w:r w:rsidRPr="00CA1068">
        <w:rPr>
          <w:lang w:val="lv-LV"/>
        </w:rPr>
        <w:t>Bradley, J., Kearney, I. Morgenroth, E. (2000). “Ex-ante Analysis of the Economic Impact of Pre-accession Structural Funds: A Model-based Methodology for Latvia,” The Economic and Social Research Institute (ESRI), Dublin.</w:t>
      </w:r>
    </w:p>
    <w:p w:rsidR="001B6E23" w:rsidRDefault="001B6E23" w:rsidP="001B6E23">
      <w:pPr>
        <w:rPr>
          <w:lang w:val="lv-LV"/>
        </w:rPr>
      </w:pPr>
      <w:r w:rsidRPr="003D106A">
        <w:rPr>
          <w:lang w:val="lv-LV"/>
        </w:rPr>
        <w:t>Ederveen</w:t>
      </w:r>
      <w:r>
        <w:rPr>
          <w:lang w:val="lv-LV"/>
        </w:rPr>
        <w:t xml:space="preserve">, S., </w:t>
      </w:r>
      <w:r w:rsidRPr="003D106A">
        <w:rPr>
          <w:lang w:val="lv-LV"/>
        </w:rPr>
        <w:t>Gorter</w:t>
      </w:r>
      <w:r>
        <w:rPr>
          <w:lang w:val="lv-LV"/>
        </w:rPr>
        <w:t xml:space="preserve">, J., </w:t>
      </w:r>
      <w:r w:rsidRPr="003D106A">
        <w:rPr>
          <w:lang w:val="lv-LV"/>
        </w:rPr>
        <w:t>Mooij</w:t>
      </w:r>
      <w:r>
        <w:rPr>
          <w:lang w:val="lv-LV"/>
        </w:rPr>
        <w:t xml:space="preserve">, R., </w:t>
      </w:r>
      <w:r w:rsidRPr="003D106A">
        <w:rPr>
          <w:lang w:val="lv-LV"/>
        </w:rPr>
        <w:t>Nahuis</w:t>
      </w:r>
      <w:r>
        <w:rPr>
          <w:lang w:val="lv-LV"/>
        </w:rPr>
        <w:t>, R. (</w:t>
      </w:r>
      <w:r w:rsidRPr="003D106A">
        <w:rPr>
          <w:lang w:val="lv-LV"/>
        </w:rPr>
        <w:t>2003</w:t>
      </w:r>
      <w:r>
        <w:rPr>
          <w:lang w:val="lv-LV"/>
        </w:rPr>
        <w:t>)</w:t>
      </w:r>
      <w:r w:rsidRPr="003D106A">
        <w:rPr>
          <w:lang w:val="lv-LV"/>
        </w:rPr>
        <w:t>.</w:t>
      </w:r>
      <w:r>
        <w:rPr>
          <w:lang w:val="lv-LV"/>
        </w:rPr>
        <w:t xml:space="preserve"> </w:t>
      </w:r>
      <w:r w:rsidRPr="003D106A">
        <w:rPr>
          <w:lang w:val="lv-LV"/>
        </w:rPr>
        <w:t>"Funds and Games: The Economics of European Cohesion Policy,"</w:t>
      </w:r>
      <w:r>
        <w:rPr>
          <w:lang w:val="lv-LV"/>
        </w:rPr>
        <w:t xml:space="preserve"> </w:t>
      </w:r>
      <w:r w:rsidRPr="003D106A">
        <w:rPr>
          <w:lang w:val="lv-LV"/>
        </w:rPr>
        <w:t>Occasional Papers 03, European Network of Economic Policy Research Institutes.</w:t>
      </w:r>
    </w:p>
    <w:p w:rsidR="001B6E23" w:rsidRDefault="001B6E23" w:rsidP="001B6E23">
      <w:pPr>
        <w:rPr>
          <w:lang w:val="lv-LV"/>
        </w:rPr>
      </w:pPr>
      <w:r w:rsidRPr="00060061">
        <w:rPr>
          <w:lang w:val="lv-LV"/>
        </w:rPr>
        <w:t>Gáková</w:t>
      </w:r>
      <w:r>
        <w:rPr>
          <w:lang w:val="lv-LV"/>
        </w:rPr>
        <w:t xml:space="preserve">, Z., </w:t>
      </w:r>
      <w:r w:rsidRPr="00060061">
        <w:rPr>
          <w:lang w:val="lv-LV"/>
        </w:rPr>
        <w:t>Grigonytė</w:t>
      </w:r>
      <w:r>
        <w:rPr>
          <w:lang w:val="lv-LV"/>
        </w:rPr>
        <w:t xml:space="preserve">, D., </w:t>
      </w:r>
      <w:r w:rsidRPr="00060061">
        <w:rPr>
          <w:lang w:val="lv-LV"/>
        </w:rPr>
        <w:t>Monfort</w:t>
      </w:r>
      <w:r>
        <w:rPr>
          <w:lang w:val="lv-LV"/>
        </w:rPr>
        <w:t>, P. (2009). „</w:t>
      </w:r>
      <w:r w:rsidRPr="00060061">
        <w:rPr>
          <w:lang w:val="lv-LV"/>
        </w:rPr>
        <w:t>A Cross-Country</w:t>
      </w:r>
      <w:r>
        <w:rPr>
          <w:lang w:val="lv-LV"/>
        </w:rPr>
        <w:t xml:space="preserve"> </w:t>
      </w:r>
      <w:r w:rsidRPr="00060061">
        <w:rPr>
          <w:lang w:val="lv-LV"/>
        </w:rPr>
        <w:t>Impact Assessment of</w:t>
      </w:r>
      <w:r>
        <w:rPr>
          <w:lang w:val="lv-LV"/>
        </w:rPr>
        <w:t xml:space="preserve"> </w:t>
      </w:r>
      <w:r w:rsidRPr="00060061">
        <w:rPr>
          <w:lang w:val="lv-LV"/>
        </w:rPr>
        <w:t>EU Cohesion Policy</w:t>
      </w:r>
      <w:r>
        <w:rPr>
          <w:lang w:val="lv-LV"/>
        </w:rPr>
        <w:t xml:space="preserve">. </w:t>
      </w:r>
      <w:r w:rsidRPr="00060061">
        <w:rPr>
          <w:lang w:val="lv-LV"/>
        </w:rPr>
        <w:t>Applying the Cohesion System</w:t>
      </w:r>
      <w:r>
        <w:rPr>
          <w:lang w:val="lv-LV"/>
        </w:rPr>
        <w:t xml:space="preserve"> </w:t>
      </w:r>
      <w:r w:rsidRPr="00060061">
        <w:rPr>
          <w:lang w:val="lv-LV"/>
        </w:rPr>
        <w:t>of HERMIN Models</w:t>
      </w:r>
      <w:r>
        <w:rPr>
          <w:lang w:val="lv-LV"/>
        </w:rPr>
        <w:t xml:space="preserve">”, </w:t>
      </w:r>
      <w:r w:rsidRPr="00060061">
        <w:rPr>
          <w:lang w:val="lv-LV"/>
        </w:rPr>
        <w:t>Directorate-General for Regional Policy</w:t>
      </w:r>
      <w:r>
        <w:rPr>
          <w:lang w:val="lv-LV"/>
        </w:rPr>
        <w:t>, Working Paper N</w:t>
      </w:r>
      <w:r w:rsidRPr="00060061">
        <w:rPr>
          <w:lang w:val="lv-LV"/>
        </w:rPr>
        <w:t>° 01/2009</w:t>
      </w:r>
      <w:r>
        <w:rPr>
          <w:lang w:val="lv-LV"/>
        </w:rPr>
        <w:t>.</w:t>
      </w:r>
    </w:p>
    <w:p w:rsidR="001B6E23" w:rsidRDefault="001B6E23" w:rsidP="001B6E23">
      <w:pPr>
        <w:rPr>
          <w:lang w:val="lv-LV"/>
        </w:rPr>
        <w:sectPr w:rsidR="001B6E23" w:rsidSect="006A245F">
          <w:footerReference w:type="default" r:id="rId80"/>
          <w:pgSz w:w="11907" w:h="16839" w:code="9"/>
          <w:pgMar w:top="1440" w:right="1440" w:bottom="1440" w:left="1440" w:header="720" w:footer="720" w:gutter="0"/>
          <w:cols w:space="720"/>
          <w:docGrid w:linePitch="360"/>
        </w:sectPr>
      </w:pPr>
      <w:r w:rsidRPr="00CA1068">
        <w:rPr>
          <w:lang w:val="lv-LV"/>
        </w:rPr>
        <w:t>Lolos, S. E. G. (2001). “The Macroeconomic Effect of EU Structural Transfers on the Cohesion Countries and Lessons for the CEECs,” IIASA, Interim Report IR-01-044/October.</w:t>
      </w:r>
    </w:p>
    <w:p w:rsidR="00640A0D" w:rsidRDefault="00640A0D" w:rsidP="00640A0D">
      <w:pPr>
        <w:pStyle w:val="Heading1"/>
        <w:numPr>
          <w:ilvl w:val="0"/>
          <w:numId w:val="0"/>
        </w:numPr>
        <w:rPr>
          <w:lang w:val="en-GB"/>
        </w:rPr>
      </w:pPr>
      <w:bookmarkStart w:id="13" w:name="_Toc312172611"/>
      <w:r>
        <w:rPr>
          <w:lang w:val="en-GB"/>
        </w:rPr>
        <w:lastRenderedPageBreak/>
        <w:t>Annex</w:t>
      </w:r>
      <w:bookmarkEnd w:id="13"/>
    </w:p>
    <w:p w:rsidR="00622A8D" w:rsidRPr="00622A8D" w:rsidRDefault="00622A8D" w:rsidP="00622A8D">
      <w:pPr>
        <w:spacing w:after="0"/>
        <w:rPr>
          <w:b/>
          <w:lang w:val="en-GB"/>
        </w:rPr>
      </w:pPr>
      <w:r w:rsidRPr="00622A8D">
        <w:rPr>
          <w:b/>
          <w:lang w:val="en-GB"/>
        </w:rPr>
        <w:t>Table P.1: Matching between priorities set in the terms of reference with priorities determined in EC Regulation No 1828/2006</w:t>
      </w:r>
    </w:p>
    <w:tbl>
      <w:tblPr>
        <w:tblW w:w="8361"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29"/>
        <w:gridCol w:w="2328"/>
        <w:gridCol w:w="5604"/>
      </w:tblGrid>
      <w:tr w:rsidR="00622A8D" w:rsidRPr="00622A8D" w:rsidTr="007E65A5">
        <w:tc>
          <w:tcPr>
            <w:tcW w:w="429" w:type="dxa"/>
            <w:shd w:val="clear" w:color="auto" w:fill="808080"/>
          </w:tcPr>
          <w:p w:rsidR="00622A8D" w:rsidRPr="00622A8D" w:rsidRDefault="00622A8D" w:rsidP="007E65A5">
            <w:pPr>
              <w:keepNext/>
              <w:keepLines/>
              <w:autoSpaceDE w:val="0"/>
              <w:autoSpaceDN w:val="0"/>
              <w:adjustRightInd w:val="0"/>
              <w:spacing w:after="0"/>
              <w:ind w:left="12" w:right="36"/>
              <w:jc w:val="center"/>
              <w:rPr>
                <w:rFonts w:cs="Times New Roman"/>
                <w:bCs/>
                <w:color w:val="FFFFFF"/>
                <w:sz w:val="18"/>
                <w:szCs w:val="18"/>
                <w:lang w:val="en-GB"/>
              </w:rPr>
            </w:pPr>
            <w:r>
              <w:rPr>
                <w:rFonts w:cs="Times New Roman"/>
                <w:bCs/>
                <w:color w:val="FFFFFF"/>
                <w:sz w:val="18"/>
                <w:szCs w:val="18"/>
                <w:lang w:val="en-GB"/>
              </w:rPr>
              <w:t>No</w:t>
            </w:r>
            <w:r w:rsidRPr="00622A8D">
              <w:rPr>
                <w:rFonts w:cs="Times New Roman"/>
                <w:bCs/>
                <w:color w:val="FFFFFF"/>
                <w:sz w:val="18"/>
                <w:szCs w:val="18"/>
                <w:lang w:val="en-GB"/>
              </w:rPr>
              <w:t>.</w:t>
            </w:r>
          </w:p>
        </w:tc>
        <w:tc>
          <w:tcPr>
            <w:tcW w:w="2328" w:type="dxa"/>
            <w:shd w:val="clear" w:color="auto" w:fill="808080"/>
          </w:tcPr>
          <w:p w:rsidR="00622A8D" w:rsidRPr="00622A8D" w:rsidRDefault="00622A8D" w:rsidP="007E65A5">
            <w:pPr>
              <w:keepNext/>
              <w:keepLines/>
              <w:autoSpaceDE w:val="0"/>
              <w:autoSpaceDN w:val="0"/>
              <w:adjustRightInd w:val="0"/>
              <w:spacing w:after="0"/>
              <w:ind w:left="12" w:right="36"/>
              <w:jc w:val="center"/>
              <w:rPr>
                <w:rFonts w:cs="Times New Roman"/>
                <w:bCs/>
                <w:color w:val="FFFFFF"/>
                <w:sz w:val="18"/>
                <w:szCs w:val="18"/>
                <w:lang w:val="en-GB"/>
              </w:rPr>
            </w:pPr>
            <w:r>
              <w:rPr>
                <w:rFonts w:cs="Times New Roman"/>
                <w:bCs/>
                <w:color w:val="FFFFFF"/>
                <w:sz w:val="18"/>
                <w:szCs w:val="18"/>
                <w:lang w:val="en-GB"/>
              </w:rPr>
              <w:t>Priorities set in terms of reference</w:t>
            </w:r>
          </w:p>
        </w:tc>
        <w:tc>
          <w:tcPr>
            <w:tcW w:w="5604" w:type="dxa"/>
            <w:shd w:val="clear" w:color="auto" w:fill="808080"/>
          </w:tcPr>
          <w:p w:rsidR="00622A8D" w:rsidRPr="00622A8D" w:rsidRDefault="00622A8D" w:rsidP="007E65A5">
            <w:pPr>
              <w:keepNext/>
              <w:keepLines/>
              <w:autoSpaceDE w:val="0"/>
              <w:autoSpaceDN w:val="0"/>
              <w:adjustRightInd w:val="0"/>
              <w:spacing w:after="0"/>
              <w:ind w:left="36" w:right="12"/>
              <w:jc w:val="center"/>
              <w:rPr>
                <w:rFonts w:cs="Times New Roman"/>
                <w:bCs/>
                <w:color w:val="FFFFFF"/>
                <w:sz w:val="18"/>
                <w:szCs w:val="18"/>
                <w:lang w:val="en-GB"/>
              </w:rPr>
            </w:pPr>
            <w:r>
              <w:rPr>
                <w:rFonts w:cs="Times New Roman"/>
                <w:bCs/>
                <w:color w:val="FFFFFF"/>
                <w:sz w:val="18"/>
                <w:szCs w:val="18"/>
                <w:lang w:val="en-GB"/>
              </w:rPr>
              <w:t>P</w:t>
            </w:r>
            <w:r w:rsidR="00DA7D3C">
              <w:rPr>
                <w:rFonts w:cs="Times New Roman"/>
                <w:bCs/>
                <w:color w:val="FFFFFF"/>
                <w:sz w:val="18"/>
                <w:szCs w:val="18"/>
                <w:lang w:val="en-GB"/>
              </w:rPr>
              <w:t>riorities set in EC</w:t>
            </w:r>
            <w:r>
              <w:rPr>
                <w:rFonts w:cs="Times New Roman"/>
                <w:bCs/>
                <w:color w:val="FFFFFF"/>
                <w:sz w:val="18"/>
                <w:szCs w:val="18"/>
                <w:lang w:val="en-GB"/>
              </w:rPr>
              <w:t xml:space="preserve"> regulation No 1828/2006</w:t>
            </w:r>
          </w:p>
        </w:tc>
      </w:tr>
      <w:tr w:rsidR="00622A8D" w:rsidRPr="00622A8D" w:rsidTr="00DA7D3C">
        <w:trPr>
          <w:trHeight w:val="480"/>
        </w:trPr>
        <w:tc>
          <w:tcPr>
            <w:tcW w:w="429" w:type="dxa"/>
          </w:tcPr>
          <w:p w:rsidR="00622A8D" w:rsidRPr="00622A8D" w:rsidRDefault="00622A8D" w:rsidP="007E65A5">
            <w:pPr>
              <w:keepNext/>
              <w:keepLines/>
              <w:autoSpaceDE w:val="0"/>
              <w:autoSpaceDN w:val="0"/>
              <w:adjustRightInd w:val="0"/>
              <w:spacing w:after="0"/>
              <w:ind w:left="12" w:right="12"/>
              <w:rPr>
                <w:rFonts w:cs="Times New Roman"/>
                <w:color w:val="000000"/>
                <w:sz w:val="18"/>
                <w:szCs w:val="18"/>
                <w:lang w:val="en-GB"/>
              </w:rPr>
            </w:pPr>
            <w:r w:rsidRPr="00622A8D">
              <w:rPr>
                <w:rFonts w:cs="Times New Roman"/>
                <w:color w:val="000000"/>
                <w:sz w:val="18"/>
                <w:szCs w:val="18"/>
                <w:lang w:val="en-GB"/>
              </w:rPr>
              <w:t>1</w:t>
            </w:r>
          </w:p>
        </w:tc>
        <w:tc>
          <w:tcPr>
            <w:tcW w:w="2328" w:type="dxa"/>
          </w:tcPr>
          <w:p w:rsidR="00622A8D" w:rsidRPr="00622A8D" w:rsidRDefault="00DA7D3C" w:rsidP="007E65A5">
            <w:pPr>
              <w:keepNext/>
              <w:keepLines/>
              <w:autoSpaceDE w:val="0"/>
              <w:autoSpaceDN w:val="0"/>
              <w:adjustRightInd w:val="0"/>
              <w:spacing w:after="0"/>
              <w:ind w:left="12" w:right="12"/>
              <w:rPr>
                <w:rFonts w:cs="Times New Roman"/>
                <w:color w:val="000000"/>
                <w:sz w:val="18"/>
                <w:szCs w:val="18"/>
                <w:lang w:val="en-GB"/>
              </w:rPr>
            </w:pPr>
            <w:r w:rsidRPr="00DA7D3C">
              <w:rPr>
                <w:rFonts w:cs="Times New Roman"/>
                <w:color w:val="000000"/>
                <w:sz w:val="18"/>
                <w:szCs w:val="18"/>
                <w:lang w:val="en-GB"/>
              </w:rPr>
              <w:t>Research and technology development</w:t>
            </w:r>
          </w:p>
        </w:tc>
        <w:tc>
          <w:tcPr>
            <w:tcW w:w="5604" w:type="dxa"/>
            <w:vMerge w:val="restart"/>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sidRPr="00DA7D3C">
              <w:rPr>
                <w:rFonts w:cs="Times New Roman"/>
                <w:color w:val="000000"/>
                <w:sz w:val="18"/>
                <w:szCs w:val="18"/>
                <w:lang w:val="en-GB"/>
              </w:rPr>
              <w:t>Research and technology development</w:t>
            </w:r>
            <w:r w:rsidRPr="00622A8D">
              <w:rPr>
                <w:rFonts w:cs="Times New Roman"/>
                <w:color w:val="000000"/>
                <w:sz w:val="18"/>
                <w:szCs w:val="18"/>
                <w:lang w:val="en-GB"/>
              </w:rPr>
              <w:t xml:space="preserve"> </w:t>
            </w:r>
            <w:r w:rsidR="00622A8D" w:rsidRPr="00622A8D">
              <w:rPr>
                <w:rFonts w:cs="Times New Roman"/>
                <w:color w:val="000000"/>
                <w:sz w:val="18"/>
                <w:szCs w:val="18"/>
                <w:lang w:val="en-GB"/>
              </w:rPr>
              <w:t xml:space="preserve">– </w:t>
            </w:r>
            <w:r w:rsidR="00622A8D" w:rsidRPr="00622A8D">
              <w:rPr>
                <w:rFonts w:cs="Times New Roman"/>
                <w:bCs/>
                <w:color w:val="000000"/>
                <w:sz w:val="18"/>
                <w:szCs w:val="18"/>
                <w:lang w:val="en-GB"/>
              </w:rPr>
              <w:t>01,02,03</w:t>
            </w:r>
          </w:p>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sidRPr="00DA7D3C">
              <w:rPr>
                <w:rFonts w:cs="Times New Roman"/>
                <w:color w:val="000000"/>
                <w:sz w:val="18"/>
                <w:szCs w:val="18"/>
                <w:lang w:val="en-GB"/>
              </w:rPr>
              <w:t>Innovations and entrepreneurship</w:t>
            </w:r>
            <w:r w:rsidRPr="00622A8D">
              <w:rPr>
                <w:rFonts w:cs="Times New Roman"/>
                <w:color w:val="000000"/>
                <w:sz w:val="18"/>
                <w:szCs w:val="18"/>
                <w:lang w:val="en-GB"/>
              </w:rPr>
              <w:t xml:space="preserve"> </w:t>
            </w:r>
            <w:r w:rsidR="00622A8D" w:rsidRPr="00622A8D">
              <w:rPr>
                <w:rFonts w:cs="Times New Roman"/>
                <w:color w:val="000000"/>
                <w:sz w:val="18"/>
                <w:szCs w:val="18"/>
                <w:lang w:val="en-GB"/>
              </w:rPr>
              <w:t xml:space="preserve">– </w:t>
            </w:r>
            <w:r w:rsidR="00622A8D" w:rsidRPr="00622A8D">
              <w:rPr>
                <w:rFonts w:cs="Times New Roman"/>
                <w:bCs/>
                <w:color w:val="000000"/>
                <w:sz w:val="18"/>
                <w:szCs w:val="18"/>
                <w:lang w:val="en-GB"/>
              </w:rPr>
              <w:t>04-09.</w:t>
            </w:r>
          </w:p>
        </w:tc>
      </w:tr>
      <w:tr w:rsidR="00622A8D" w:rsidRPr="00622A8D" w:rsidTr="007E65A5">
        <w:trPr>
          <w:trHeight w:val="431"/>
        </w:trPr>
        <w:tc>
          <w:tcPr>
            <w:tcW w:w="429" w:type="dxa"/>
          </w:tcPr>
          <w:p w:rsidR="00622A8D" w:rsidRPr="00622A8D" w:rsidRDefault="00622A8D" w:rsidP="007E65A5">
            <w:pPr>
              <w:keepNext/>
              <w:keepLines/>
              <w:autoSpaceDE w:val="0"/>
              <w:autoSpaceDN w:val="0"/>
              <w:adjustRightInd w:val="0"/>
              <w:spacing w:after="0"/>
              <w:ind w:left="12" w:right="36"/>
              <w:rPr>
                <w:rFonts w:cs="Times New Roman"/>
                <w:color w:val="000000"/>
                <w:sz w:val="18"/>
                <w:szCs w:val="18"/>
                <w:lang w:val="en-GB"/>
              </w:rPr>
            </w:pPr>
            <w:r w:rsidRPr="00622A8D">
              <w:rPr>
                <w:rFonts w:cs="Times New Roman"/>
                <w:color w:val="000000"/>
                <w:sz w:val="18"/>
                <w:szCs w:val="18"/>
                <w:lang w:val="en-GB"/>
              </w:rPr>
              <w:t>2</w:t>
            </w:r>
          </w:p>
        </w:tc>
        <w:tc>
          <w:tcPr>
            <w:tcW w:w="2328" w:type="dxa"/>
          </w:tcPr>
          <w:p w:rsidR="00622A8D" w:rsidRPr="00622A8D" w:rsidRDefault="00DA7D3C" w:rsidP="007E65A5">
            <w:pPr>
              <w:keepNext/>
              <w:keepLines/>
              <w:autoSpaceDE w:val="0"/>
              <w:autoSpaceDN w:val="0"/>
              <w:adjustRightInd w:val="0"/>
              <w:spacing w:after="0"/>
              <w:ind w:left="12" w:right="36"/>
              <w:rPr>
                <w:rFonts w:cs="Times New Roman"/>
                <w:color w:val="000000"/>
                <w:sz w:val="18"/>
                <w:szCs w:val="18"/>
                <w:lang w:val="en-GB"/>
              </w:rPr>
            </w:pPr>
            <w:r w:rsidRPr="00DA7D3C">
              <w:rPr>
                <w:rFonts w:cs="Times New Roman"/>
                <w:color w:val="000000"/>
                <w:sz w:val="18"/>
                <w:szCs w:val="18"/>
                <w:lang w:val="en-GB"/>
              </w:rPr>
              <w:t>Innovations and entrepreneurship</w:t>
            </w:r>
          </w:p>
        </w:tc>
        <w:tc>
          <w:tcPr>
            <w:tcW w:w="5604" w:type="dxa"/>
            <w:vMerge/>
          </w:tcPr>
          <w:p w:rsidR="00622A8D" w:rsidRPr="00622A8D" w:rsidRDefault="00622A8D" w:rsidP="007E65A5">
            <w:pPr>
              <w:keepNext/>
              <w:keepLines/>
              <w:autoSpaceDE w:val="0"/>
              <w:autoSpaceDN w:val="0"/>
              <w:adjustRightInd w:val="0"/>
              <w:spacing w:after="0"/>
              <w:ind w:left="12" w:right="36"/>
              <w:rPr>
                <w:rFonts w:cs="Times New Roman"/>
                <w:color w:val="000000"/>
                <w:sz w:val="18"/>
                <w:szCs w:val="18"/>
                <w:lang w:val="en-GB"/>
              </w:rPr>
            </w:pPr>
          </w:p>
        </w:tc>
      </w:tr>
      <w:tr w:rsidR="00622A8D" w:rsidRPr="00622A8D" w:rsidTr="007E65A5">
        <w:tc>
          <w:tcPr>
            <w:tcW w:w="429" w:type="dxa"/>
          </w:tcPr>
          <w:p w:rsidR="00622A8D" w:rsidRPr="00622A8D" w:rsidRDefault="00622A8D" w:rsidP="007E65A5">
            <w:pPr>
              <w:keepNext/>
              <w:keepLines/>
              <w:autoSpaceDE w:val="0"/>
              <w:autoSpaceDN w:val="0"/>
              <w:adjustRightInd w:val="0"/>
              <w:spacing w:after="0"/>
              <w:ind w:left="12" w:right="36"/>
              <w:rPr>
                <w:rFonts w:cs="Times New Roman"/>
                <w:color w:val="000000"/>
                <w:sz w:val="18"/>
                <w:szCs w:val="18"/>
                <w:lang w:val="en-GB"/>
              </w:rPr>
            </w:pPr>
            <w:r w:rsidRPr="00622A8D">
              <w:rPr>
                <w:rFonts w:cs="Times New Roman"/>
                <w:color w:val="000000"/>
                <w:sz w:val="18"/>
                <w:szCs w:val="18"/>
                <w:lang w:val="en-GB"/>
              </w:rPr>
              <w:t>3</w:t>
            </w:r>
          </w:p>
        </w:tc>
        <w:tc>
          <w:tcPr>
            <w:tcW w:w="2328" w:type="dxa"/>
          </w:tcPr>
          <w:p w:rsidR="00622A8D" w:rsidRPr="00622A8D" w:rsidRDefault="00DA7D3C" w:rsidP="007E65A5">
            <w:pPr>
              <w:keepNext/>
              <w:keepLines/>
              <w:autoSpaceDE w:val="0"/>
              <w:autoSpaceDN w:val="0"/>
              <w:adjustRightInd w:val="0"/>
              <w:spacing w:after="0"/>
              <w:ind w:left="12" w:right="36"/>
              <w:rPr>
                <w:rFonts w:cs="Times New Roman"/>
                <w:color w:val="000000"/>
                <w:sz w:val="18"/>
                <w:szCs w:val="18"/>
                <w:lang w:val="en-GB"/>
              </w:rPr>
            </w:pPr>
            <w:r>
              <w:rPr>
                <w:rFonts w:cs="Times New Roman"/>
                <w:color w:val="000000"/>
                <w:sz w:val="18"/>
                <w:szCs w:val="18"/>
                <w:lang w:val="en-GB"/>
              </w:rPr>
              <w:t>Information society</w:t>
            </w: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Information society</w:t>
            </w:r>
            <w:r w:rsidRPr="00622A8D">
              <w:rPr>
                <w:rFonts w:cs="Times New Roman"/>
                <w:bCs/>
                <w:color w:val="000000"/>
                <w:sz w:val="18"/>
                <w:szCs w:val="18"/>
                <w:lang w:val="en-GB"/>
              </w:rPr>
              <w:t xml:space="preserve"> </w:t>
            </w:r>
            <w:r w:rsidR="00622A8D" w:rsidRPr="00622A8D">
              <w:rPr>
                <w:rFonts w:cs="Times New Roman"/>
                <w:bCs/>
                <w:color w:val="000000"/>
                <w:sz w:val="18"/>
                <w:szCs w:val="18"/>
                <w:lang w:val="en-GB"/>
              </w:rPr>
              <w:t>(10-15)</w:t>
            </w:r>
          </w:p>
        </w:tc>
      </w:tr>
      <w:tr w:rsidR="00622A8D" w:rsidRPr="00622A8D" w:rsidTr="007E65A5">
        <w:tc>
          <w:tcPr>
            <w:tcW w:w="429" w:type="dxa"/>
          </w:tcPr>
          <w:p w:rsidR="00622A8D" w:rsidRPr="00622A8D" w:rsidRDefault="00622A8D" w:rsidP="007E65A5">
            <w:pPr>
              <w:keepNext/>
              <w:keepLines/>
              <w:autoSpaceDE w:val="0"/>
              <w:autoSpaceDN w:val="0"/>
              <w:adjustRightInd w:val="0"/>
              <w:spacing w:after="0"/>
              <w:ind w:left="12" w:right="36"/>
              <w:rPr>
                <w:rFonts w:cs="Times New Roman"/>
                <w:color w:val="000000"/>
                <w:sz w:val="18"/>
                <w:szCs w:val="18"/>
                <w:lang w:val="en-GB"/>
              </w:rPr>
            </w:pPr>
            <w:r w:rsidRPr="00622A8D">
              <w:rPr>
                <w:rFonts w:cs="Times New Roman"/>
                <w:color w:val="000000"/>
                <w:sz w:val="18"/>
                <w:szCs w:val="18"/>
                <w:lang w:val="en-GB"/>
              </w:rPr>
              <w:t>4</w:t>
            </w:r>
          </w:p>
        </w:tc>
        <w:tc>
          <w:tcPr>
            <w:tcW w:w="2328" w:type="dxa"/>
          </w:tcPr>
          <w:p w:rsidR="00622A8D" w:rsidRPr="00622A8D" w:rsidRDefault="00DA7D3C" w:rsidP="007E65A5">
            <w:pPr>
              <w:keepNext/>
              <w:keepLines/>
              <w:autoSpaceDE w:val="0"/>
              <w:autoSpaceDN w:val="0"/>
              <w:adjustRightInd w:val="0"/>
              <w:spacing w:after="0"/>
              <w:ind w:left="12" w:right="36"/>
              <w:rPr>
                <w:rFonts w:cs="Times New Roman"/>
                <w:color w:val="000000"/>
                <w:sz w:val="18"/>
                <w:szCs w:val="18"/>
                <w:lang w:val="en-GB"/>
              </w:rPr>
            </w:pPr>
            <w:r>
              <w:rPr>
                <w:rFonts w:cs="Times New Roman"/>
                <w:color w:val="000000"/>
                <w:sz w:val="18"/>
                <w:szCs w:val="18"/>
                <w:lang w:val="en-GB"/>
              </w:rPr>
              <w:t>Transport</w:t>
            </w: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Transport</w:t>
            </w:r>
            <w:r w:rsidRPr="00622A8D">
              <w:rPr>
                <w:rFonts w:cs="Times New Roman"/>
                <w:bCs/>
                <w:color w:val="000000"/>
                <w:sz w:val="18"/>
                <w:szCs w:val="18"/>
                <w:lang w:val="en-GB"/>
              </w:rPr>
              <w:t xml:space="preserve"> </w:t>
            </w:r>
            <w:r w:rsidR="00622A8D" w:rsidRPr="00622A8D">
              <w:rPr>
                <w:rFonts w:cs="Times New Roman"/>
                <w:bCs/>
                <w:color w:val="000000"/>
                <w:sz w:val="18"/>
                <w:szCs w:val="18"/>
                <w:lang w:val="en-GB"/>
              </w:rPr>
              <w:t>(16-32)</w:t>
            </w:r>
          </w:p>
        </w:tc>
      </w:tr>
      <w:tr w:rsidR="00622A8D" w:rsidRPr="00622A8D" w:rsidTr="007E65A5">
        <w:tc>
          <w:tcPr>
            <w:tcW w:w="429" w:type="dxa"/>
          </w:tcPr>
          <w:p w:rsidR="00622A8D" w:rsidRPr="00622A8D" w:rsidRDefault="00622A8D" w:rsidP="007E65A5">
            <w:pPr>
              <w:keepNext/>
              <w:keepLines/>
              <w:autoSpaceDE w:val="0"/>
              <w:autoSpaceDN w:val="0"/>
              <w:adjustRightInd w:val="0"/>
              <w:spacing w:after="0"/>
              <w:ind w:left="12" w:right="36"/>
              <w:rPr>
                <w:rFonts w:cs="Times New Roman"/>
                <w:color w:val="000000"/>
                <w:sz w:val="18"/>
                <w:szCs w:val="18"/>
                <w:lang w:val="en-GB"/>
              </w:rPr>
            </w:pPr>
            <w:r w:rsidRPr="00622A8D">
              <w:rPr>
                <w:rFonts w:cs="Times New Roman"/>
                <w:color w:val="000000"/>
                <w:sz w:val="18"/>
                <w:szCs w:val="18"/>
                <w:lang w:val="en-GB"/>
              </w:rPr>
              <w:t>5</w:t>
            </w:r>
          </w:p>
        </w:tc>
        <w:tc>
          <w:tcPr>
            <w:tcW w:w="2328" w:type="dxa"/>
          </w:tcPr>
          <w:p w:rsidR="00622A8D" w:rsidRPr="00622A8D" w:rsidRDefault="00DA7D3C" w:rsidP="007E65A5">
            <w:pPr>
              <w:keepNext/>
              <w:keepLines/>
              <w:autoSpaceDE w:val="0"/>
              <w:autoSpaceDN w:val="0"/>
              <w:adjustRightInd w:val="0"/>
              <w:spacing w:after="0"/>
              <w:ind w:left="12" w:right="36"/>
              <w:rPr>
                <w:rFonts w:cs="Times New Roman"/>
                <w:color w:val="000000"/>
                <w:sz w:val="18"/>
                <w:szCs w:val="18"/>
                <w:lang w:val="en-GB"/>
              </w:rPr>
            </w:pPr>
            <w:r>
              <w:rPr>
                <w:rFonts w:cs="Times New Roman"/>
                <w:color w:val="000000"/>
                <w:sz w:val="18"/>
                <w:szCs w:val="18"/>
                <w:lang w:val="en-GB"/>
              </w:rPr>
              <w:t>Energy</w:t>
            </w: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Energy</w:t>
            </w:r>
            <w:r w:rsidRPr="00622A8D">
              <w:rPr>
                <w:rFonts w:cs="Times New Roman"/>
                <w:bCs/>
                <w:color w:val="000000"/>
                <w:sz w:val="18"/>
                <w:szCs w:val="18"/>
                <w:lang w:val="en-GB"/>
              </w:rPr>
              <w:t xml:space="preserve"> </w:t>
            </w:r>
            <w:r w:rsidR="00622A8D" w:rsidRPr="00622A8D">
              <w:rPr>
                <w:rFonts w:cs="Times New Roman"/>
                <w:bCs/>
                <w:color w:val="000000"/>
                <w:sz w:val="18"/>
                <w:szCs w:val="18"/>
                <w:lang w:val="en-GB"/>
              </w:rPr>
              <w:t>(33-43)</w:t>
            </w:r>
          </w:p>
        </w:tc>
      </w:tr>
      <w:tr w:rsidR="00622A8D" w:rsidRPr="00622A8D" w:rsidTr="007E65A5">
        <w:tc>
          <w:tcPr>
            <w:tcW w:w="429" w:type="dxa"/>
          </w:tcPr>
          <w:p w:rsidR="00622A8D" w:rsidRPr="00622A8D" w:rsidRDefault="00622A8D" w:rsidP="007E65A5">
            <w:pPr>
              <w:keepNext/>
              <w:keepLines/>
              <w:autoSpaceDE w:val="0"/>
              <w:autoSpaceDN w:val="0"/>
              <w:adjustRightInd w:val="0"/>
              <w:spacing w:after="0"/>
              <w:ind w:left="12" w:right="36"/>
              <w:rPr>
                <w:rFonts w:cs="Times New Roman"/>
                <w:color w:val="000000"/>
                <w:sz w:val="18"/>
                <w:szCs w:val="18"/>
                <w:lang w:val="en-GB"/>
              </w:rPr>
            </w:pPr>
            <w:r w:rsidRPr="00622A8D">
              <w:rPr>
                <w:rFonts w:cs="Times New Roman"/>
                <w:color w:val="000000"/>
                <w:sz w:val="18"/>
                <w:szCs w:val="18"/>
                <w:lang w:val="en-GB"/>
              </w:rPr>
              <w:t>6</w:t>
            </w:r>
          </w:p>
        </w:tc>
        <w:tc>
          <w:tcPr>
            <w:tcW w:w="2328" w:type="dxa"/>
          </w:tcPr>
          <w:p w:rsidR="00622A8D" w:rsidRPr="00622A8D" w:rsidRDefault="00DA7D3C" w:rsidP="007E65A5">
            <w:pPr>
              <w:keepNext/>
              <w:keepLines/>
              <w:autoSpaceDE w:val="0"/>
              <w:autoSpaceDN w:val="0"/>
              <w:adjustRightInd w:val="0"/>
              <w:spacing w:after="0"/>
              <w:ind w:left="12" w:right="36"/>
              <w:rPr>
                <w:rFonts w:cs="Times New Roman"/>
                <w:color w:val="000000"/>
                <w:sz w:val="18"/>
                <w:szCs w:val="18"/>
                <w:lang w:val="en-GB"/>
              </w:rPr>
            </w:pPr>
            <w:r w:rsidRPr="00DA7D3C">
              <w:rPr>
                <w:rFonts w:cs="Times New Roman"/>
                <w:color w:val="000000"/>
                <w:sz w:val="18"/>
                <w:szCs w:val="18"/>
                <w:lang w:val="en-GB"/>
              </w:rPr>
              <w:t>Environmental protection and risk reduction</w:t>
            </w: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sidRPr="00DA7D3C">
              <w:rPr>
                <w:rFonts w:cs="Times New Roman"/>
                <w:color w:val="000000"/>
                <w:sz w:val="18"/>
                <w:szCs w:val="18"/>
                <w:lang w:val="en-GB"/>
              </w:rPr>
              <w:t>Environmental protection and risk reduction</w:t>
            </w:r>
            <w:r w:rsidR="00622A8D" w:rsidRPr="00622A8D">
              <w:rPr>
                <w:rFonts w:cs="Times New Roman"/>
                <w:color w:val="000000"/>
                <w:sz w:val="18"/>
                <w:szCs w:val="18"/>
                <w:lang w:val="en-GB"/>
              </w:rPr>
              <w:t xml:space="preserve"> </w:t>
            </w:r>
            <w:r w:rsidR="00622A8D" w:rsidRPr="00622A8D">
              <w:rPr>
                <w:rFonts w:cs="Times New Roman"/>
                <w:bCs/>
                <w:color w:val="000000"/>
                <w:sz w:val="18"/>
                <w:szCs w:val="18"/>
                <w:lang w:val="en-GB"/>
              </w:rPr>
              <w:t>(44-54)</w:t>
            </w:r>
          </w:p>
        </w:tc>
      </w:tr>
      <w:tr w:rsidR="00622A8D" w:rsidRPr="00622A8D" w:rsidTr="007E65A5">
        <w:tc>
          <w:tcPr>
            <w:tcW w:w="429" w:type="dxa"/>
            <w:vMerge w:val="restart"/>
          </w:tcPr>
          <w:p w:rsidR="00622A8D" w:rsidRPr="00622A8D" w:rsidRDefault="00622A8D" w:rsidP="007E65A5">
            <w:pPr>
              <w:autoSpaceDE w:val="0"/>
              <w:autoSpaceDN w:val="0"/>
              <w:adjustRightInd w:val="0"/>
              <w:spacing w:after="0"/>
              <w:rPr>
                <w:rFonts w:cs="Times New Roman"/>
                <w:color w:val="000000"/>
                <w:sz w:val="18"/>
                <w:szCs w:val="18"/>
                <w:lang w:val="en-GB"/>
              </w:rPr>
            </w:pPr>
            <w:r w:rsidRPr="00622A8D">
              <w:rPr>
                <w:rFonts w:cs="Times New Roman"/>
                <w:color w:val="000000"/>
                <w:sz w:val="18"/>
                <w:szCs w:val="18"/>
                <w:lang w:val="en-GB"/>
              </w:rPr>
              <w:t>7</w:t>
            </w:r>
          </w:p>
        </w:tc>
        <w:tc>
          <w:tcPr>
            <w:tcW w:w="2328" w:type="dxa"/>
            <w:vMerge w:val="restart"/>
          </w:tcPr>
          <w:p w:rsidR="00622A8D" w:rsidRPr="00622A8D" w:rsidRDefault="00DA7D3C" w:rsidP="007E65A5">
            <w:pPr>
              <w:autoSpaceDE w:val="0"/>
              <w:autoSpaceDN w:val="0"/>
              <w:adjustRightInd w:val="0"/>
              <w:spacing w:after="0"/>
              <w:rPr>
                <w:rFonts w:cs="Times New Roman"/>
                <w:color w:val="000000"/>
                <w:sz w:val="18"/>
                <w:szCs w:val="18"/>
                <w:lang w:val="en-GB"/>
              </w:rPr>
            </w:pPr>
            <w:r w:rsidRPr="00DA7D3C">
              <w:rPr>
                <w:rFonts w:cs="Times New Roman"/>
                <w:color w:val="000000"/>
                <w:sz w:val="18"/>
                <w:szCs w:val="18"/>
                <w:lang w:val="en-GB"/>
              </w:rPr>
              <w:t xml:space="preserve">Human capital, employment, social integration </w:t>
            </w: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Improving access to employment and sustainability</w:t>
            </w:r>
            <w:r w:rsidR="00622A8D" w:rsidRPr="00622A8D">
              <w:rPr>
                <w:rFonts w:cs="Times New Roman"/>
                <w:color w:val="000000"/>
                <w:sz w:val="18"/>
                <w:szCs w:val="18"/>
                <w:lang w:val="en-GB"/>
              </w:rPr>
              <w:t xml:space="preserve"> </w:t>
            </w:r>
            <w:r w:rsidR="00622A8D" w:rsidRPr="00622A8D">
              <w:rPr>
                <w:rFonts w:cs="Times New Roman"/>
                <w:bCs/>
                <w:color w:val="000000"/>
                <w:sz w:val="18"/>
                <w:szCs w:val="18"/>
                <w:lang w:val="en-GB"/>
              </w:rPr>
              <w:t>(65-70)</w:t>
            </w:r>
          </w:p>
        </w:tc>
      </w:tr>
      <w:tr w:rsidR="00622A8D" w:rsidRPr="00622A8D" w:rsidTr="007E65A5">
        <w:tc>
          <w:tcPr>
            <w:tcW w:w="429" w:type="dxa"/>
            <w:vMerge/>
          </w:tcPr>
          <w:p w:rsidR="00622A8D" w:rsidRPr="00622A8D" w:rsidRDefault="00622A8D" w:rsidP="007E65A5">
            <w:pPr>
              <w:autoSpaceDE w:val="0"/>
              <w:autoSpaceDN w:val="0"/>
              <w:adjustRightInd w:val="0"/>
              <w:spacing w:after="0"/>
              <w:rPr>
                <w:rFonts w:cs="Times New Roman"/>
                <w:color w:val="000000"/>
                <w:sz w:val="18"/>
                <w:szCs w:val="18"/>
                <w:lang w:val="en-GB"/>
              </w:rPr>
            </w:pPr>
          </w:p>
        </w:tc>
        <w:tc>
          <w:tcPr>
            <w:tcW w:w="2328" w:type="dxa"/>
            <w:vMerge/>
          </w:tcPr>
          <w:p w:rsidR="00622A8D" w:rsidRPr="00622A8D" w:rsidRDefault="00622A8D" w:rsidP="007E65A5">
            <w:pPr>
              <w:autoSpaceDE w:val="0"/>
              <w:autoSpaceDN w:val="0"/>
              <w:adjustRightInd w:val="0"/>
              <w:spacing w:after="0"/>
              <w:rPr>
                <w:rFonts w:cs="Times New Roman"/>
                <w:color w:val="000000"/>
                <w:sz w:val="18"/>
                <w:szCs w:val="18"/>
                <w:lang w:val="en-GB"/>
              </w:rPr>
            </w:pP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Improving the social inclusion of less-favoured persons</w:t>
            </w:r>
            <w:r w:rsidR="00622A8D" w:rsidRPr="00622A8D">
              <w:rPr>
                <w:rFonts w:cs="Times New Roman"/>
                <w:color w:val="000000"/>
                <w:sz w:val="18"/>
                <w:szCs w:val="18"/>
                <w:lang w:val="en-GB"/>
              </w:rPr>
              <w:t xml:space="preserve"> </w:t>
            </w:r>
            <w:r w:rsidR="00622A8D" w:rsidRPr="00622A8D">
              <w:rPr>
                <w:rFonts w:cs="Times New Roman"/>
                <w:bCs/>
                <w:color w:val="000000"/>
                <w:sz w:val="18"/>
                <w:szCs w:val="18"/>
                <w:lang w:val="en-GB"/>
              </w:rPr>
              <w:t>(71)</w:t>
            </w:r>
          </w:p>
        </w:tc>
      </w:tr>
      <w:tr w:rsidR="00622A8D" w:rsidRPr="00622A8D" w:rsidTr="007E65A5">
        <w:tc>
          <w:tcPr>
            <w:tcW w:w="429"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2328"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 xml:space="preserve">Tourism </w:t>
            </w:r>
            <w:r w:rsidR="00622A8D" w:rsidRPr="00622A8D">
              <w:rPr>
                <w:rFonts w:cs="Times New Roman"/>
                <w:bCs/>
                <w:color w:val="000000"/>
                <w:sz w:val="18"/>
                <w:szCs w:val="18"/>
                <w:lang w:val="en-GB"/>
              </w:rPr>
              <w:t>(55-57)</w:t>
            </w:r>
          </w:p>
        </w:tc>
      </w:tr>
      <w:tr w:rsidR="00622A8D" w:rsidRPr="00622A8D" w:rsidTr="007E65A5">
        <w:tc>
          <w:tcPr>
            <w:tcW w:w="429"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2328"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Culture</w:t>
            </w:r>
            <w:r w:rsidR="00622A8D" w:rsidRPr="00622A8D">
              <w:rPr>
                <w:rFonts w:cs="Times New Roman"/>
                <w:color w:val="000000"/>
                <w:sz w:val="18"/>
                <w:szCs w:val="18"/>
                <w:lang w:val="en-GB"/>
              </w:rPr>
              <w:t xml:space="preserve"> </w:t>
            </w:r>
            <w:r w:rsidR="00622A8D" w:rsidRPr="00622A8D">
              <w:rPr>
                <w:rFonts w:cs="Times New Roman"/>
                <w:bCs/>
                <w:color w:val="000000"/>
                <w:sz w:val="18"/>
                <w:szCs w:val="18"/>
                <w:lang w:val="en-GB"/>
              </w:rPr>
              <w:t>(58-60)</w:t>
            </w:r>
          </w:p>
        </w:tc>
      </w:tr>
      <w:tr w:rsidR="00622A8D" w:rsidRPr="00622A8D" w:rsidTr="007E65A5">
        <w:tc>
          <w:tcPr>
            <w:tcW w:w="429"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2328"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 xml:space="preserve">Urban and rural regeneration </w:t>
            </w:r>
            <w:r w:rsidR="00622A8D" w:rsidRPr="00622A8D">
              <w:rPr>
                <w:rFonts w:cs="Times New Roman"/>
                <w:bCs/>
                <w:color w:val="000000"/>
                <w:sz w:val="18"/>
                <w:szCs w:val="18"/>
                <w:lang w:val="en-GB"/>
              </w:rPr>
              <w:t>(61)</w:t>
            </w:r>
          </w:p>
        </w:tc>
      </w:tr>
      <w:tr w:rsidR="00622A8D" w:rsidRPr="00622A8D" w:rsidTr="007E65A5">
        <w:tc>
          <w:tcPr>
            <w:tcW w:w="429"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2328"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Increasing the adaptability of workers and firms, enterprises and entrepreneurs</w:t>
            </w:r>
            <w:r w:rsidR="00622A8D" w:rsidRPr="00622A8D">
              <w:rPr>
                <w:rFonts w:cs="Times New Roman"/>
                <w:color w:val="000000"/>
                <w:sz w:val="18"/>
                <w:szCs w:val="18"/>
                <w:lang w:val="en-GB"/>
              </w:rPr>
              <w:t xml:space="preserve"> </w:t>
            </w:r>
            <w:r w:rsidR="00622A8D" w:rsidRPr="00622A8D">
              <w:rPr>
                <w:rFonts w:cs="Times New Roman"/>
                <w:bCs/>
                <w:color w:val="000000"/>
                <w:sz w:val="18"/>
                <w:szCs w:val="18"/>
                <w:lang w:val="en-GB"/>
              </w:rPr>
              <w:t>(62-64)</w:t>
            </w:r>
          </w:p>
        </w:tc>
      </w:tr>
      <w:tr w:rsidR="00622A8D" w:rsidRPr="00622A8D" w:rsidTr="007E65A5">
        <w:tc>
          <w:tcPr>
            <w:tcW w:w="429"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2328"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92D050"/>
                <w:sz w:val="18"/>
                <w:szCs w:val="18"/>
                <w:lang w:val="en-GB"/>
              </w:rPr>
            </w:pPr>
            <w:r>
              <w:rPr>
                <w:rFonts w:cs="Times New Roman"/>
                <w:color w:val="000000"/>
                <w:sz w:val="18"/>
                <w:szCs w:val="18"/>
                <w:lang w:val="en-GB"/>
              </w:rPr>
              <w:t xml:space="preserve">Investment in social infrastructure </w:t>
            </w:r>
            <w:r w:rsidR="00622A8D" w:rsidRPr="00622A8D">
              <w:rPr>
                <w:rFonts w:cs="Times New Roman"/>
                <w:bCs/>
                <w:color w:val="000000"/>
                <w:sz w:val="18"/>
                <w:szCs w:val="18"/>
                <w:lang w:val="en-GB"/>
              </w:rPr>
              <w:t>(76- 79)</w:t>
            </w:r>
          </w:p>
        </w:tc>
      </w:tr>
      <w:tr w:rsidR="00622A8D" w:rsidRPr="00622A8D" w:rsidTr="007E65A5">
        <w:tc>
          <w:tcPr>
            <w:tcW w:w="429"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2328"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 xml:space="preserve">Mobilisation for reforms in the fields of employment and inclusion </w:t>
            </w:r>
            <w:r w:rsidR="00622A8D" w:rsidRPr="00622A8D">
              <w:rPr>
                <w:rFonts w:cs="Times New Roman"/>
                <w:bCs/>
                <w:color w:val="000000"/>
                <w:sz w:val="18"/>
                <w:szCs w:val="18"/>
                <w:lang w:val="en-GB"/>
              </w:rPr>
              <w:t>(80)</w:t>
            </w:r>
          </w:p>
        </w:tc>
      </w:tr>
      <w:tr w:rsidR="00622A8D" w:rsidRPr="00622A8D" w:rsidTr="007E65A5">
        <w:tc>
          <w:tcPr>
            <w:tcW w:w="429"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2328"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 xml:space="preserve">Strengthening institutional capacity at national, regional and local level </w:t>
            </w:r>
            <w:r w:rsidR="00622A8D" w:rsidRPr="00622A8D">
              <w:rPr>
                <w:rFonts w:cs="Times New Roman"/>
                <w:bCs/>
                <w:color w:val="000000"/>
                <w:sz w:val="18"/>
                <w:szCs w:val="18"/>
                <w:lang w:val="en-GB"/>
              </w:rPr>
              <w:t>(81)</w:t>
            </w:r>
          </w:p>
        </w:tc>
      </w:tr>
      <w:tr w:rsidR="00622A8D" w:rsidRPr="00622A8D" w:rsidTr="007E65A5">
        <w:tc>
          <w:tcPr>
            <w:tcW w:w="429"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2328"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 xml:space="preserve">Reduction of additional costs hindering the outermost regions development </w:t>
            </w:r>
            <w:r w:rsidR="00622A8D" w:rsidRPr="00622A8D">
              <w:rPr>
                <w:rFonts w:cs="Times New Roman"/>
                <w:bCs/>
                <w:color w:val="000000"/>
                <w:sz w:val="18"/>
                <w:szCs w:val="18"/>
                <w:lang w:val="en-GB"/>
              </w:rPr>
              <w:t>(82-84)</w:t>
            </w:r>
          </w:p>
        </w:tc>
      </w:tr>
      <w:tr w:rsidR="00622A8D" w:rsidRPr="00622A8D" w:rsidTr="007E65A5">
        <w:tc>
          <w:tcPr>
            <w:tcW w:w="429"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2328" w:type="dxa"/>
            <w:vMerge/>
          </w:tcPr>
          <w:p w:rsidR="00622A8D" w:rsidRPr="00622A8D" w:rsidRDefault="00622A8D" w:rsidP="007E65A5">
            <w:pPr>
              <w:autoSpaceDE w:val="0"/>
              <w:autoSpaceDN w:val="0"/>
              <w:adjustRightInd w:val="0"/>
              <w:spacing w:after="0"/>
              <w:rPr>
                <w:rFonts w:cs="Times New Roman"/>
                <w:bCs/>
                <w:color w:val="000000"/>
                <w:sz w:val="18"/>
                <w:szCs w:val="18"/>
                <w:lang w:val="en-GB"/>
              </w:rPr>
            </w:pPr>
          </w:p>
        </w:tc>
        <w:tc>
          <w:tcPr>
            <w:tcW w:w="5604" w:type="dxa"/>
          </w:tcPr>
          <w:p w:rsidR="00622A8D" w:rsidRPr="00622A8D" w:rsidRDefault="00DA7D3C" w:rsidP="007E65A5">
            <w:pPr>
              <w:keepNext/>
              <w:keepLines/>
              <w:autoSpaceDE w:val="0"/>
              <w:autoSpaceDN w:val="0"/>
              <w:adjustRightInd w:val="0"/>
              <w:spacing w:after="0"/>
              <w:ind w:left="36" w:right="12"/>
              <w:rPr>
                <w:rFonts w:cs="Times New Roman"/>
                <w:bCs/>
                <w:color w:val="000000"/>
                <w:sz w:val="18"/>
                <w:szCs w:val="18"/>
                <w:lang w:val="en-GB"/>
              </w:rPr>
            </w:pPr>
            <w:r>
              <w:rPr>
                <w:rFonts w:cs="Times New Roman"/>
                <w:color w:val="000000"/>
                <w:sz w:val="18"/>
                <w:szCs w:val="18"/>
                <w:lang w:val="en-GB"/>
              </w:rPr>
              <w:t xml:space="preserve">Technical assistance </w:t>
            </w:r>
            <w:r w:rsidR="00622A8D" w:rsidRPr="00622A8D">
              <w:rPr>
                <w:rFonts w:cs="Times New Roman"/>
                <w:bCs/>
                <w:color w:val="000000"/>
                <w:sz w:val="18"/>
                <w:szCs w:val="18"/>
                <w:lang w:val="en-GB"/>
              </w:rPr>
              <w:t>(85-86)</w:t>
            </w:r>
          </w:p>
        </w:tc>
      </w:tr>
      <w:tr w:rsidR="00622A8D" w:rsidRPr="00622A8D" w:rsidTr="007E65A5">
        <w:tc>
          <w:tcPr>
            <w:tcW w:w="429" w:type="dxa"/>
          </w:tcPr>
          <w:p w:rsidR="00622A8D" w:rsidRPr="00622A8D" w:rsidRDefault="00622A8D" w:rsidP="007E65A5">
            <w:pPr>
              <w:keepNext/>
              <w:keepLines/>
              <w:autoSpaceDE w:val="0"/>
              <w:autoSpaceDN w:val="0"/>
              <w:adjustRightInd w:val="0"/>
              <w:spacing w:after="0"/>
              <w:ind w:left="12" w:right="36"/>
              <w:rPr>
                <w:rFonts w:cs="Times New Roman"/>
                <w:color w:val="000000"/>
                <w:sz w:val="18"/>
                <w:szCs w:val="18"/>
                <w:lang w:val="en-GB"/>
              </w:rPr>
            </w:pPr>
            <w:r w:rsidRPr="00622A8D">
              <w:rPr>
                <w:rFonts w:cs="Times New Roman"/>
                <w:color w:val="000000"/>
                <w:sz w:val="18"/>
                <w:szCs w:val="18"/>
                <w:lang w:val="en-GB"/>
              </w:rPr>
              <w:t>8</w:t>
            </w:r>
          </w:p>
        </w:tc>
        <w:tc>
          <w:tcPr>
            <w:tcW w:w="2328" w:type="dxa"/>
          </w:tcPr>
          <w:p w:rsidR="00622A8D" w:rsidRPr="00622A8D" w:rsidRDefault="00DA7D3C" w:rsidP="007E65A5">
            <w:pPr>
              <w:keepNext/>
              <w:keepLines/>
              <w:autoSpaceDE w:val="0"/>
              <w:autoSpaceDN w:val="0"/>
              <w:adjustRightInd w:val="0"/>
              <w:spacing w:after="0"/>
              <w:ind w:left="12" w:right="36"/>
              <w:rPr>
                <w:rFonts w:cs="Times New Roman"/>
                <w:color w:val="000000"/>
                <w:sz w:val="18"/>
                <w:szCs w:val="18"/>
                <w:lang w:val="en-GB"/>
              </w:rPr>
            </w:pPr>
            <w:r>
              <w:rPr>
                <w:rFonts w:cs="Times New Roman"/>
                <w:color w:val="000000"/>
                <w:sz w:val="18"/>
                <w:szCs w:val="18"/>
                <w:lang w:val="en-GB"/>
              </w:rPr>
              <w:t>Education</w:t>
            </w:r>
          </w:p>
        </w:tc>
        <w:tc>
          <w:tcPr>
            <w:tcW w:w="5604" w:type="dxa"/>
          </w:tcPr>
          <w:p w:rsidR="00622A8D" w:rsidRPr="00622A8D" w:rsidRDefault="00DA7D3C" w:rsidP="007E65A5">
            <w:pPr>
              <w:keepNext/>
              <w:keepLines/>
              <w:autoSpaceDE w:val="0"/>
              <w:autoSpaceDN w:val="0"/>
              <w:adjustRightInd w:val="0"/>
              <w:spacing w:after="0"/>
              <w:ind w:left="36" w:right="12"/>
              <w:rPr>
                <w:rFonts w:cs="Times New Roman"/>
                <w:color w:val="000000"/>
                <w:sz w:val="18"/>
                <w:szCs w:val="18"/>
                <w:lang w:val="en-GB"/>
              </w:rPr>
            </w:pPr>
            <w:r>
              <w:rPr>
                <w:rFonts w:cs="Times New Roman"/>
                <w:color w:val="000000"/>
                <w:sz w:val="18"/>
                <w:szCs w:val="18"/>
                <w:lang w:val="en-GB"/>
              </w:rPr>
              <w:t>Codes</w:t>
            </w:r>
            <w:r w:rsidR="00622A8D" w:rsidRPr="00622A8D">
              <w:rPr>
                <w:rFonts w:cs="Times New Roman"/>
                <w:color w:val="000000"/>
                <w:sz w:val="18"/>
                <w:szCs w:val="18"/>
                <w:lang w:val="en-GB"/>
              </w:rPr>
              <w:t xml:space="preserve"> ( 72-75)</w:t>
            </w:r>
          </w:p>
          <w:p w:rsidR="00622A8D" w:rsidRPr="00622A8D" w:rsidRDefault="00622A8D" w:rsidP="007E65A5">
            <w:pPr>
              <w:keepNext/>
              <w:keepLines/>
              <w:autoSpaceDE w:val="0"/>
              <w:autoSpaceDN w:val="0"/>
              <w:adjustRightInd w:val="0"/>
              <w:spacing w:after="0"/>
              <w:ind w:left="36" w:right="12"/>
              <w:rPr>
                <w:rFonts w:cs="Times New Roman"/>
                <w:color w:val="000000"/>
                <w:sz w:val="18"/>
                <w:szCs w:val="18"/>
                <w:lang w:val="en-GB"/>
              </w:rPr>
            </w:pPr>
            <w:r w:rsidRPr="00622A8D">
              <w:rPr>
                <w:rFonts w:cs="Times New Roman"/>
                <w:color w:val="000000"/>
                <w:sz w:val="18"/>
                <w:szCs w:val="18"/>
                <w:lang w:val="en-GB"/>
              </w:rPr>
              <w:t>*</w:t>
            </w:r>
            <w:r w:rsidR="00DA7D3C">
              <w:rPr>
                <w:rFonts w:cs="Times New Roman"/>
                <w:color w:val="000000"/>
                <w:sz w:val="18"/>
                <w:szCs w:val="18"/>
                <w:lang w:val="en-GB"/>
              </w:rPr>
              <w:t xml:space="preserve"> Education infrastructure</w:t>
            </w:r>
            <w:r w:rsidRPr="00622A8D">
              <w:rPr>
                <w:rFonts w:cs="Times New Roman"/>
                <w:color w:val="000000"/>
                <w:sz w:val="18"/>
                <w:szCs w:val="18"/>
                <w:lang w:val="en-GB"/>
              </w:rPr>
              <w:t xml:space="preserve"> (75)</w:t>
            </w:r>
          </w:p>
          <w:p w:rsidR="00622A8D" w:rsidRPr="00622A8D" w:rsidRDefault="00622A8D" w:rsidP="007E65A5">
            <w:pPr>
              <w:keepNext/>
              <w:keepLines/>
              <w:autoSpaceDE w:val="0"/>
              <w:autoSpaceDN w:val="0"/>
              <w:adjustRightInd w:val="0"/>
              <w:spacing w:after="0"/>
              <w:ind w:left="36" w:right="12"/>
              <w:rPr>
                <w:rFonts w:cs="Times New Roman"/>
                <w:color w:val="000000"/>
                <w:sz w:val="18"/>
                <w:szCs w:val="18"/>
                <w:lang w:val="en-GB"/>
              </w:rPr>
            </w:pPr>
            <w:r w:rsidRPr="00622A8D">
              <w:rPr>
                <w:rFonts w:cs="Times New Roman"/>
                <w:color w:val="000000"/>
                <w:sz w:val="18"/>
                <w:szCs w:val="18"/>
                <w:lang w:val="en-GB"/>
              </w:rPr>
              <w:t xml:space="preserve"> * </w:t>
            </w:r>
            <w:r w:rsidR="00F14A12">
              <w:rPr>
                <w:rFonts w:cs="Times New Roman"/>
                <w:color w:val="000000"/>
                <w:sz w:val="18"/>
                <w:szCs w:val="18"/>
                <w:lang w:val="en-GB"/>
              </w:rPr>
              <w:t>Design, introduction and implementation of reforms in education and training systems in order to develop employability, improving the labour market relevance of initial and vocational education and training, updating skills of training personnel with a view to innovation and a knowledge based economy (72)</w:t>
            </w:r>
          </w:p>
          <w:p w:rsidR="00622A8D" w:rsidRPr="00622A8D" w:rsidRDefault="00622A8D" w:rsidP="007E65A5">
            <w:pPr>
              <w:keepNext/>
              <w:keepLines/>
              <w:autoSpaceDE w:val="0"/>
              <w:autoSpaceDN w:val="0"/>
              <w:adjustRightInd w:val="0"/>
              <w:spacing w:after="0"/>
              <w:ind w:left="36" w:right="12"/>
              <w:rPr>
                <w:rFonts w:cs="Times New Roman"/>
                <w:color w:val="000000"/>
                <w:sz w:val="18"/>
                <w:szCs w:val="18"/>
                <w:lang w:val="en-GB"/>
              </w:rPr>
            </w:pPr>
            <w:r w:rsidRPr="00622A8D">
              <w:rPr>
                <w:rFonts w:cs="Times New Roman"/>
                <w:color w:val="000000"/>
                <w:sz w:val="18"/>
                <w:szCs w:val="18"/>
                <w:lang w:val="en-GB"/>
              </w:rPr>
              <w:t xml:space="preserve"> * </w:t>
            </w:r>
            <w:r w:rsidR="00F14A12">
              <w:rPr>
                <w:rFonts w:cs="Times New Roman"/>
                <w:color w:val="000000"/>
                <w:sz w:val="18"/>
                <w:szCs w:val="18"/>
                <w:lang w:val="en-GB"/>
              </w:rPr>
              <w:t>Measures to increase participation in education and training throughout the life-cycle, including through action to achieve a reduction in early school leaving, gender-based segregation of subjects and increased access to and quality of initial vocational and tertiary education and training (73)</w:t>
            </w:r>
          </w:p>
          <w:p w:rsidR="00622A8D" w:rsidRPr="00622A8D" w:rsidRDefault="00622A8D" w:rsidP="00F14A12">
            <w:pPr>
              <w:keepNext/>
              <w:keepLines/>
              <w:autoSpaceDE w:val="0"/>
              <w:autoSpaceDN w:val="0"/>
              <w:adjustRightInd w:val="0"/>
              <w:spacing w:after="0"/>
              <w:ind w:left="36" w:right="12"/>
              <w:rPr>
                <w:rFonts w:cs="Times New Roman"/>
                <w:color w:val="000000"/>
                <w:sz w:val="18"/>
                <w:szCs w:val="18"/>
                <w:lang w:val="en-GB"/>
              </w:rPr>
            </w:pPr>
            <w:r w:rsidRPr="00622A8D">
              <w:rPr>
                <w:rFonts w:cs="Times New Roman"/>
                <w:color w:val="000000"/>
                <w:sz w:val="18"/>
                <w:szCs w:val="18"/>
                <w:lang w:val="en-GB"/>
              </w:rPr>
              <w:t xml:space="preserve"> * </w:t>
            </w:r>
            <w:r w:rsidR="00F14A12">
              <w:rPr>
                <w:rFonts w:cs="Times New Roman"/>
                <w:color w:val="000000"/>
                <w:sz w:val="18"/>
                <w:szCs w:val="18"/>
                <w:lang w:val="en-GB"/>
              </w:rPr>
              <w:t>Developing human potential in the field of research and innovation, in particular through post-graduate studies and training of researches, and networking activities between universities, research centres and businesses (74).</w:t>
            </w:r>
          </w:p>
        </w:tc>
      </w:tr>
    </w:tbl>
    <w:p w:rsidR="00622A8D" w:rsidRPr="00622A8D" w:rsidRDefault="00622A8D" w:rsidP="005858C8">
      <w:pPr>
        <w:rPr>
          <w:b/>
          <w:lang w:val="en-GB"/>
        </w:rPr>
      </w:pPr>
    </w:p>
    <w:p w:rsidR="00622A8D" w:rsidRPr="00622A8D" w:rsidRDefault="00622A8D" w:rsidP="005858C8">
      <w:pPr>
        <w:rPr>
          <w:b/>
          <w:lang w:val="lv-LV"/>
        </w:rPr>
      </w:pPr>
    </w:p>
    <w:p w:rsidR="00622A8D" w:rsidRPr="00622A8D" w:rsidRDefault="00622A8D" w:rsidP="005858C8">
      <w:pPr>
        <w:rPr>
          <w:b/>
          <w:lang w:val="lv-LV"/>
        </w:rPr>
        <w:sectPr w:rsidR="00622A8D" w:rsidRPr="00622A8D" w:rsidSect="00622A8D">
          <w:footerReference w:type="default" r:id="rId81"/>
          <w:pgSz w:w="11907" w:h="16839" w:code="9"/>
          <w:pgMar w:top="1440" w:right="1440" w:bottom="1440" w:left="1440" w:header="720" w:footer="720" w:gutter="0"/>
          <w:cols w:space="720"/>
          <w:docGrid w:linePitch="360"/>
        </w:sectPr>
      </w:pPr>
    </w:p>
    <w:p w:rsidR="005858C8" w:rsidRPr="00D31979" w:rsidRDefault="005858C8" w:rsidP="005858C8">
      <w:pPr>
        <w:rPr>
          <w:b/>
          <w:lang w:val="en-GB"/>
        </w:rPr>
      </w:pPr>
      <w:r w:rsidRPr="00D31979">
        <w:rPr>
          <w:b/>
          <w:lang w:val="en-GB"/>
        </w:rPr>
        <w:lastRenderedPageBreak/>
        <w:t xml:space="preserve">Table </w:t>
      </w:r>
      <w:r w:rsidR="00622A8D">
        <w:rPr>
          <w:b/>
          <w:lang w:val="en-GB"/>
        </w:rPr>
        <w:t>P.2</w:t>
      </w:r>
      <w:r w:rsidRPr="00D31979">
        <w:rPr>
          <w:b/>
          <w:lang w:val="en-GB"/>
        </w:rPr>
        <w:t>: The impact of fund investment on the main macroeconomic indicators in 2002-2020, assuming 30% crowding out, %, unless specified otherwise*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68"/>
        <w:gridCol w:w="1223"/>
        <w:gridCol w:w="1223"/>
        <w:gridCol w:w="1223"/>
        <w:gridCol w:w="1223"/>
        <w:gridCol w:w="1223"/>
        <w:gridCol w:w="1223"/>
        <w:gridCol w:w="1223"/>
        <w:gridCol w:w="1223"/>
        <w:gridCol w:w="1223"/>
      </w:tblGrid>
      <w:tr w:rsidR="005858C8" w:rsidRPr="00D31979" w:rsidTr="00D73466">
        <w:trPr>
          <w:tblHeader/>
        </w:trPr>
        <w:tc>
          <w:tcPr>
            <w:tcW w:w="3168" w:type="dxa"/>
            <w:shd w:val="clear" w:color="auto" w:fill="DBE5F1" w:themeFill="accent1" w:themeFillTint="33"/>
          </w:tcPr>
          <w:p w:rsidR="005858C8" w:rsidRPr="00D31979" w:rsidRDefault="005858C8" w:rsidP="00D73466">
            <w:pPr>
              <w:jc w:val="center"/>
              <w:rPr>
                <w:rFonts w:cs="Times New Roman"/>
                <w:b/>
                <w:lang w:val="en-GB"/>
              </w:rPr>
            </w:pPr>
          </w:p>
        </w:tc>
        <w:tc>
          <w:tcPr>
            <w:tcW w:w="1223"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2002</w:t>
            </w:r>
          </w:p>
        </w:tc>
        <w:tc>
          <w:tcPr>
            <w:tcW w:w="1223"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2003</w:t>
            </w:r>
          </w:p>
        </w:tc>
        <w:tc>
          <w:tcPr>
            <w:tcW w:w="1223"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2004</w:t>
            </w:r>
          </w:p>
        </w:tc>
        <w:tc>
          <w:tcPr>
            <w:tcW w:w="1223"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2005</w:t>
            </w:r>
          </w:p>
        </w:tc>
        <w:tc>
          <w:tcPr>
            <w:tcW w:w="1223"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2006</w:t>
            </w:r>
          </w:p>
        </w:tc>
        <w:tc>
          <w:tcPr>
            <w:tcW w:w="1223"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2007</w:t>
            </w:r>
          </w:p>
        </w:tc>
        <w:tc>
          <w:tcPr>
            <w:tcW w:w="1223"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2008</w:t>
            </w:r>
          </w:p>
        </w:tc>
        <w:tc>
          <w:tcPr>
            <w:tcW w:w="1223"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2009</w:t>
            </w:r>
          </w:p>
        </w:tc>
        <w:tc>
          <w:tcPr>
            <w:tcW w:w="1223"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2010</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Real GDP</w:t>
            </w:r>
          </w:p>
        </w:tc>
        <w:tc>
          <w:tcPr>
            <w:tcW w:w="1223" w:type="dxa"/>
          </w:tcPr>
          <w:p w:rsidR="005858C8" w:rsidRPr="00DB5B9B" w:rsidRDefault="005858C8" w:rsidP="00D73466">
            <w:pPr>
              <w:jc w:val="center"/>
            </w:pPr>
            <w:r w:rsidRPr="00DB5B9B">
              <w:t>0.5</w:t>
            </w:r>
          </w:p>
        </w:tc>
        <w:tc>
          <w:tcPr>
            <w:tcW w:w="1223" w:type="dxa"/>
          </w:tcPr>
          <w:p w:rsidR="005858C8" w:rsidRPr="00DB5B9B" w:rsidRDefault="005858C8" w:rsidP="00D73466">
            <w:pPr>
              <w:jc w:val="center"/>
            </w:pPr>
            <w:r w:rsidRPr="00DB5B9B">
              <w:t>0.9</w:t>
            </w:r>
          </w:p>
        </w:tc>
        <w:tc>
          <w:tcPr>
            <w:tcW w:w="1223" w:type="dxa"/>
          </w:tcPr>
          <w:p w:rsidR="005858C8" w:rsidRPr="00DB5B9B" w:rsidRDefault="005858C8" w:rsidP="00D73466">
            <w:pPr>
              <w:jc w:val="center"/>
            </w:pPr>
            <w:r w:rsidRPr="00DB5B9B">
              <w:t>1.3</w:t>
            </w:r>
          </w:p>
        </w:tc>
        <w:tc>
          <w:tcPr>
            <w:tcW w:w="1223" w:type="dxa"/>
          </w:tcPr>
          <w:p w:rsidR="005858C8" w:rsidRPr="00DB5B9B" w:rsidRDefault="005858C8" w:rsidP="00D73466">
            <w:pPr>
              <w:jc w:val="center"/>
            </w:pPr>
            <w:r w:rsidRPr="00DB5B9B">
              <w:t>2.2</w:t>
            </w:r>
          </w:p>
        </w:tc>
        <w:tc>
          <w:tcPr>
            <w:tcW w:w="1223" w:type="dxa"/>
          </w:tcPr>
          <w:p w:rsidR="005858C8" w:rsidRPr="00DB5B9B" w:rsidRDefault="005858C8" w:rsidP="00D73466">
            <w:pPr>
              <w:jc w:val="center"/>
            </w:pPr>
            <w:r w:rsidRPr="00DB5B9B">
              <w:t>3.2</w:t>
            </w:r>
          </w:p>
        </w:tc>
        <w:tc>
          <w:tcPr>
            <w:tcW w:w="1223" w:type="dxa"/>
          </w:tcPr>
          <w:p w:rsidR="005858C8" w:rsidRPr="00DB5B9B" w:rsidRDefault="005858C8" w:rsidP="00D73466">
            <w:pPr>
              <w:jc w:val="center"/>
            </w:pPr>
            <w:r w:rsidRPr="00DB5B9B">
              <w:t>3.7</w:t>
            </w:r>
          </w:p>
        </w:tc>
        <w:tc>
          <w:tcPr>
            <w:tcW w:w="1223" w:type="dxa"/>
          </w:tcPr>
          <w:p w:rsidR="005858C8" w:rsidRPr="00DB5B9B" w:rsidRDefault="005858C8" w:rsidP="00D73466">
            <w:pPr>
              <w:jc w:val="center"/>
            </w:pPr>
            <w:r w:rsidRPr="00DB5B9B">
              <w:t>3.9</w:t>
            </w:r>
          </w:p>
        </w:tc>
        <w:tc>
          <w:tcPr>
            <w:tcW w:w="1223" w:type="dxa"/>
          </w:tcPr>
          <w:p w:rsidR="005858C8" w:rsidRPr="00DB5B9B" w:rsidRDefault="005858C8" w:rsidP="00D73466">
            <w:pPr>
              <w:jc w:val="center"/>
            </w:pPr>
            <w:r w:rsidRPr="00DB5B9B">
              <w:t>4.0</w:t>
            </w:r>
          </w:p>
        </w:tc>
        <w:tc>
          <w:tcPr>
            <w:tcW w:w="1223" w:type="dxa"/>
          </w:tcPr>
          <w:p w:rsidR="005858C8" w:rsidRDefault="005858C8" w:rsidP="00D73466">
            <w:pPr>
              <w:jc w:val="center"/>
            </w:pPr>
            <w:r w:rsidRPr="00DB5B9B">
              <w:t>5.2</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Value added in constant prices:</w:t>
            </w:r>
          </w:p>
        </w:tc>
        <w:tc>
          <w:tcPr>
            <w:tcW w:w="1223" w:type="dxa"/>
            <w:vAlign w:val="center"/>
          </w:tcPr>
          <w:p w:rsidR="005858C8" w:rsidRPr="00675BAB" w:rsidRDefault="005858C8" w:rsidP="00D73466">
            <w:pPr>
              <w:jc w:val="center"/>
              <w:rPr>
                <w:rFonts w:cs="Times New Roman"/>
                <w:lang w:val="lv-LV"/>
              </w:rPr>
            </w:pPr>
          </w:p>
        </w:tc>
        <w:tc>
          <w:tcPr>
            <w:tcW w:w="1223" w:type="dxa"/>
            <w:vAlign w:val="center"/>
          </w:tcPr>
          <w:p w:rsidR="005858C8" w:rsidRPr="00675BAB" w:rsidRDefault="005858C8" w:rsidP="00D73466">
            <w:pPr>
              <w:jc w:val="center"/>
              <w:rPr>
                <w:rFonts w:cs="Times New Roman"/>
                <w:lang w:val="lv-LV"/>
              </w:rPr>
            </w:pPr>
          </w:p>
        </w:tc>
        <w:tc>
          <w:tcPr>
            <w:tcW w:w="1223" w:type="dxa"/>
            <w:vAlign w:val="center"/>
          </w:tcPr>
          <w:p w:rsidR="005858C8" w:rsidRPr="00675BAB" w:rsidRDefault="005858C8" w:rsidP="00D73466">
            <w:pPr>
              <w:jc w:val="center"/>
              <w:rPr>
                <w:rFonts w:cs="Times New Roman"/>
                <w:lang w:val="lv-LV"/>
              </w:rPr>
            </w:pPr>
          </w:p>
        </w:tc>
        <w:tc>
          <w:tcPr>
            <w:tcW w:w="1223" w:type="dxa"/>
            <w:vAlign w:val="center"/>
          </w:tcPr>
          <w:p w:rsidR="005858C8" w:rsidRPr="00675BAB" w:rsidRDefault="005858C8" w:rsidP="00D73466">
            <w:pPr>
              <w:jc w:val="center"/>
              <w:rPr>
                <w:rFonts w:cs="Times New Roman"/>
                <w:lang w:val="lv-LV"/>
              </w:rPr>
            </w:pPr>
          </w:p>
        </w:tc>
        <w:tc>
          <w:tcPr>
            <w:tcW w:w="1223" w:type="dxa"/>
            <w:vAlign w:val="center"/>
          </w:tcPr>
          <w:p w:rsidR="005858C8" w:rsidRPr="00675BAB" w:rsidRDefault="005858C8" w:rsidP="00D73466">
            <w:pPr>
              <w:jc w:val="center"/>
              <w:rPr>
                <w:rFonts w:cs="Times New Roman"/>
                <w:lang w:val="lv-LV"/>
              </w:rPr>
            </w:pPr>
          </w:p>
        </w:tc>
        <w:tc>
          <w:tcPr>
            <w:tcW w:w="1223" w:type="dxa"/>
            <w:vAlign w:val="center"/>
          </w:tcPr>
          <w:p w:rsidR="005858C8" w:rsidRPr="00675BAB" w:rsidRDefault="005858C8" w:rsidP="00D73466">
            <w:pPr>
              <w:jc w:val="center"/>
              <w:rPr>
                <w:rFonts w:cs="Times New Roman"/>
                <w:lang w:val="lv-LV"/>
              </w:rPr>
            </w:pPr>
          </w:p>
        </w:tc>
        <w:tc>
          <w:tcPr>
            <w:tcW w:w="1223" w:type="dxa"/>
            <w:vAlign w:val="center"/>
          </w:tcPr>
          <w:p w:rsidR="005858C8" w:rsidRPr="00675BAB" w:rsidRDefault="005858C8" w:rsidP="00D73466">
            <w:pPr>
              <w:jc w:val="center"/>
              <w:rPr>
                <w:rFonts w:cs="Times New Roman"/>
                <w:lang w:val="lv-LV"/>
              </w:rPr>
            </w:pPr>
          </w:p>
        </w:tc>
        <w:tc>
          <w:tcPr>
            <w:tcW w:w="1223" w:type="dxa"/>
            <w:vAlign w:val="center"/>
          </w:tcPr>
          <w:p w:rsidR="005858C8" w:rsidRPr="00675BAB" w:rsidRDefault="005858C8" w:rsidP="00D73466">
            <w:pPr>
              <w:jc w:val="center"/>
              <w:rPr>
                <w:rFonts w:cs="Times New Roman"/>
                <w:lang w:val="lv-LV"/>
              </w:rPr>
            </w:pPr>
          </w:p>
        </w:tc>
        <w:tc>
          <w:tcPr>
            <w:tcW w:w="1223" w:type="dxa"/>
            <w:vAlign w:val="center"/>
          </w:tcPr>
          <w:p w:rsidR="005858C8" w:rsidRPr="00675BAB" w:rsidRDefault="005858C8" w:rsidP="00D73466">
            <w:pPr>
              <w:jc w:val="center"/>
              <w:rPr>
                <w:rFonts w:cs="Times New Roman"/>
                <w:lang w:val="lv-LV"/>
              </w:rPr>
            </w:pP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Agriculture</w:t>
            </w:r>
          </w:p>
        </w:tc>
        <w:tc>
          <w:tcPr>
            <w:tcW w:w="1223" w:type="dxa"/>
          </w:tcPr>
          <w:p w:rsidR="005858C8" w:rsidRPr="002C0499" w:rsidRDefault="005858C8" w:rsidP="00D73466">
            <w:pPr>
              <w:jc w:val="center"/>
            </w:pPr>
            <w:r w:rsidRPr="002C0499">
              <w:t>0.4</w:t>
            </w:r>
          </w:p>
        </w:tc>
        <w:tc>
          <w:tcPr>
            <w:tcW w:w="1223" w:type="dxa"/>
          </w:tcPr>
          <w:p w:rsidR="005858C8" w:rsidRPr="002C0499" w:rsidRDefault="005858C8" w:rsidP="00D73466">
            <w:pPr>
              <w:jc w:val="center"/>
            </w:pPr>
            <w:r w:rsidRPr="002C0499">
              <w:t>0.6</w:t>
            </w:r>
          </w:p>
        </w:tc>
        <w:tc>
          <w:tcPr>
            <w:tcW w:w="1223" w:type="dxa"/>
          </w:tcPr>
          <w:p w:rsidR="005858C8" w:rsidRPr="002C0499" w:rsidRDefault="005858C8" w:rsidP="00D73466">
            <w:pPr>
              <w:jc w:val="center"/>
            </w:pPr>
            <w:r w:rsidRPr="002C0499">
              <w:t>0.8</w:t>
            </w:r>
          </w:p>
        </w:tc>
        <w:tc>
          <w:tcPr>
            <w:tcW w:w="1223" w:type="dxa"/>
          </w:tcPr>
          <w:p w:rsidR="005858C8" w:rsidRPr="002C0499" w:rsidRDefault="005858C8" w:rsidP="00D73466">
            <w:pPr>
              <w:jc w:val="center"/>
            </w:pPr>
            <w:r w:rsidRPr="002C0499">
              <w:t>3.4</w:t>
            </w:r>
          </w:p>
        </w:tc>
        <w:tc>
          <w:tcPr>
            <w:tcW w:w="1223" w:type="dxa"/>
          </w:tcPr>
          <w:p w:rsidR="005858C8" w:rsidRPr="002C0499" w:rsidRDefault="005858C8" w:rsidP="00D73466">
            <w:pPr>
              <w:jc w:val="center"/>
            </w:pPr>
            <w:r w:rsidRPr="002C0499">
              <w:t>5.7</w:t>
            </w:r>
          </w:p>
        </w:tc>
        <w:tc>
          <w:tcPr>
            <w:tcW w:w="1223" w:type="dxa"/>
          </w:tcPr>
          <w:p w:rsidR="005858C8" w:rsidRPr="002C0499" w:rsidRDefault="005858C8" w:rsidP="00D73466">
            <w:pPr>
              <w:jc w:val="center"/>
            </w:pPr>
            <w:r w:rsidRPr="002C0499">
              <w:t>3.7</w:t>
            </w:r>
          </w:p>
        </w:tc>
        <w:tc>
          <w:tcPr>
            <w:tcW w:w="1223" w:type="dxa"/>
          </w:tcPr>
          <w:p w:rsidR="005858C8" w:rsidRPr="002C0499" w:rsidRDefault="005858C8" w:rsidP="00D73466">
            <w:pPr>
              <w:jc w:val="center"/>
            </w:pPr>
            <w:r w:rsidRPr="002C0499">
              <w:t>4.2</w:t>
            </w:r>
          </w:p>
        </w:tc>
        <w:tc>
          <w:tcPr>
            <w:tcW w:w="1223" w:type="dxa"/>
          </w:tcPr>
          <w:p w:rsidR="005858C8" w:rsidRPr="002C0499" w:rsidRDefault="005858C8" w:rsidP="00D73466">
            <w:pPr>
              <w:jc w:val="center"/>
            </w:pPr>
            <w:r w:rsidRPr="002C0499">
              <w:t>6.7</w:t>
            </w:r>
          </w:p>
        </w:tc>
        <w:tc>
          <w:tcPr>
            <w:tcW w:w="1223" w:type="dxa"/>
          </w:tcPr>
          <w:p w:rsidR="005858C8" w:rsidRDefault="005858C8" w:rsidP="00D73466">
            <w:pPr>
              <w:jc w:val="center"/>
            </w:pPr>
            <w:r w:rsidRPr="002C0499">
              <w:t>7.4</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Industry</w:t>
            </w:r>
          </w:p>
        </w:tc>
        <w:tc>
          <w:tcPr>
            <w:tcW w:w="1223" w:type="dxa"/>
          </w:tcPr>
          <w:p w:rsidR="005858C8" w:rsidRPr="00A45CE7" w:rsidRDefault="005858C8" w:rsidP="00D73466">
            <w:pPr>
              <w:jc w:val="center"/>
            </w:pPr>
            <w:r w:rsidRPr="00A45CE7">
              <w:t>0.8</w:t>
            </w:r>
          </w:p>
        </w:tc>
        <w:tc>
          <w:tcPr>
            <w:tcW w:w="1223" w:type="dxa"/>
          </w:tcPr>
          <w:p w:rsidR="005858C8" w:rsidRPr="00A45CE7" w:rsidRDefault="005858C8" w:rsidP="00D73466">
            <w:pPr>
              <w:jc w:val="center"/>
            </w:pPr>
            <w:r w:rsidRPr="00A45CE7">
              <w:t>1.2</w:t>
            </w:r>
          </w:p>
        </w:tc>
        <w:tc>
          <w:tcPr>
            <w:tcW w:w="1223" w:type="dxa"/>
          </w:tcPr>
          <w:p w:rsidR="005858C8" w:rsidRPr="00A45CE7" w:rsidRDefault="005858C8" w:rsidP="00D73466">
            <w:pPr>
              <w:jc w:val="center"/>
            </w:pPr>
            <w:r w:rsidRPr="00A45CE7">
              <w:t>1.5</w:t>
            </w:r>
          </w:p>
        </w:tc>
        <w:tc>
          <w:tcPr>
            <w:tcW w:w="1223" w:type="dxa"/>
          </w:tcPr>
          <w:p w:rsidR="005858C8" w:rsidRPr="00A45CE7" w:rsidRDefault="005858C8" w:rsidP="00D73466">
            <w:pPr>
              <w:jc w:val="center"/>
            </w:pPr>
            <w:r w:rsidRPr="00A45CE7">
              <w:t>3.4</w:t>
            </w:r>
          </w:p>
        </w:tc>
        <w:tc>
          <w:tcPr>
            <w:tcW w:w="1223" w:type="dxa"/>
          </w:tcPr>
          <w:p w:rsidR="005858C8" w:rsidRPr="00A45CE7" w:rsidRDefault="005858C8" w:rsidP="00D73466">
            <w:pPr>
              <w:jc w:val="center"/>
            </w:pPr>
            <w:r w:rsidRPr="00A45CE7">
              <w:t>4.4</w:t>
            </w:r>
          </w:p>
        </w:tc>
        <w:tc>
          <w:tcPr>
            <w:tcW w:w="1223" w:type="dxa"/>
          </w:tcPr>
          <w:p w:rsidR="005858C8" w:rsidRPr="00A45CE7" w:rsidRDefault="005858C8" w:rsidP="00D73466">
            <w:pPr>
              <w:jc w:val="center"/>
            </w:pPr>
            <w:r w:rsidRPr="00A45CE7">
              <w:t>5.5</w:t>
            </w:r>
          </w:p>
        </w:tc>
        <w:tc>
          <w:tcPr>
            <w:tcW w:w="1223" w:type="dxa"/>
          </w:tcPr>
          <w:p w:rsidR="005858C8" w:rsidRPr="00A45CE7" w:rsidRDefault="005858C8" w:rsidP="00D73466">
            <w:pPr>
              <w:jc w:val="center"/>
            </w:pPr>
            <w:r w:rsidRPr="00A45CE7">
              <w:t>4.1</w:t>
            </w:r>
          </w:p>
        </w:tc>
        <w:tc>
          <w:tcPr>
            <w:tcW w:w="1223" w:type="dxa"/>
          </w:tcPr>
          <w:p w:rsidR="005858C8" w:rsidRPr="00A45CE7" w:rsidRDefault="005858C8" w:rsidP="00D73466">
            <w:pPr>
              <w:jc w:val="center"/>
            </w:pPr>
            <w:r w:rsidRPr="00A45CE7">
              <w:t>3.2</w:t>
            </w:r>
          </w:p>
        </w:tc>
        <w:tc>
          <w:tcPr>
            <w:tcW w:w="1223" w:type="dxa"/>
          </w:tcPr>
          <w:p w:rsidR="005858C8" w:rsidRDefault="005858C8" w:rsidP="00D73466">
            <w:pPr>
              <w:jc w:val="center"/>
            </w:pPr>
            <w:r w:rsidRPr="00A45CE7">
              <w:t>5.7</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Construction</w:t>
            </w:r>
          </w:p>
        </w:tc>
        <w:tc>
          <w:tcPr>
            <w:tcW w:w="1223" w:type="dxa"/>
          </w:tcPr>
          <w:p w:rsidR="005858C8" w:rsidRPr="000B2E0D" w:rsidRDefault="005858C8" w:rsidP="00D73466">
            <w:pPr>
              <w:jc w:val="center"/>
            </w:pPr>
            <w:r w:rsidRPr="000B2E0D">
              <w:t>0.6</w:t>
            </w:r>
          </w:p>
        </w:tc>
        <w:tc>
          <w:tcPr>
            <w:tcW w:w="1223" w:type="dxa"/>
          </w:tcPr>
          <w:p w:rsidR="005858C8" w:rsidRPr="000B2E0D" w:rsidRDefault="005858C8" w:rsidP="00D73466">
            <w:pPr>
              <w:jc w:val="center"/>
            </w:pPr>
            <w:r w:rsidRPr="000B2E0D">
              <w:t>1.7</w:t>
            </w:r>
          </w:p>
        </w:tc>
        <w:tc>
          <w:tcPr>
            <w:tcW w:w="1223" w:type="dxa"/>
          </w:tcPr>
          <w:p w:rsidR="005858C8" w:rsidRPr="000B2E0D" w:rsidRDefault="005858C8" w:rsidP="00D73466">
            <w:pPr>
              <w:jc w:val="center"/>
            </w:pPr>
            <w:r w:rsidRPr="000B2E0D">
              <w:t>2.6</w:t>
            </w:r>
          </w:p>
        </w:tc>
        <w:tc>
          <w:tcPr>
            <w:tcW w:w="1223" w:type="dxa"/>
          </w:tcPr>
          <w:p w:rsidR="005858C8" w:rsidRPr="000B2E0D" w:rsidRDefault="005858C8" w:rsidP="00D73466">
            <w:pPr>
              <w:jc w:val="center"/>
            </w:pPr>
            <w:r w:rsidRPr="000B2E0D">
              <w:t>2.1</w:t>
            </w:r>
          </w:p>
        </w:tc>
        <w:tc>
          <w:tcPr>
            <w:tcW w:w="1223" w:type="dxa"/>
          </w:tcPr>
          <w:p w:rsidR="005858C8" w:rsidRPr="000B2E0D" w:rsidRDefault="005858C8" w:rsidP="00D73466">
            <w:pPr>
              <w:jc w:val="center"/>
            </w:pPr>
            <w:r w:rsidRPr="000B2E0D">
              <w:t>6.6</w:t>
            </w:r>
          </w:p>
        </w:tc>
        <w:tc>
          <w:tcPr>
            <w:tcW w:w="1223" w:type="dxa"/>
          </w:tcPr>
          <w:p w:rsidR="005858C8" w:rsidRPr="000B2E0D" w:rsidRDefault="005858C8" w:rsidP="00D73466">
            <w:pPr>
              <w:jc w:val="center"/>
            </w:pPr>
            <w:r w:rsidRPr="000B2E0D">
              <w:t>6.8</w:t>
            </w:r>
          </w:p>
        </w:tc>
        <w:tc>
          <w:tcPr>
            <w:tcW w:w="1223" w:type="dxa"/>
          </w:tcPr>
          <w:p w:rsidR="005858C8" w:rsidRPr="000B2E0D" w:rsidRDefault="005858C8" w:rsidP="00D73466">
            <w:pPr>
              <w:jc w:val="center"/>
            </w:pPr>
            <w:r w:rsidRPr="000B2E0D">
              <w:t>8.1</w:t>
            </w:r>
          </w:p>
        </w:tc>
        <w:tc>
          <w:tcPr>
            <w:tcW w:w="1223" w:type="dxa"/>
          </w:tcPr>
          <w:p w:rsidR="005858C8" w:rsidRPr="000B2E0D" w:rsidRDefault="005858C8" w:rsidP="00D73466">
            <w:pPr>
              <w:jc w:val="center"/>
            </w:pPr>
            <w:r w:rsidRPr="000B2E0D">
              <w:t>7.3</w:t>
            </w:r>
          </w:p>
        </w:tc>
        <w:tc>
          <w:tcPr>
            <w:tcW w:w="1223" w:type="dxa"/>
          </w:tcPr>
          <w:p w:rsidR="005858C8" w:rsidRDefault="005858C8" w:rsidP="00D73466">
            <w:pPr>
              <w:jc w:val="center"/>
            </w:pPr>
            <w:r w:rsidRPr="000B2E0D">
              <w:t>6.0</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Private services</w:t>
            </w:r>
          </w:p>
        </w:tc>
        <w:tc>
          <w:tcPr>
            <w:tcW w:w="1223" w:type="dxa"/>
          </w:tcPr>
          <w:p w:rsidR="005858C8" w:rsidRPr="004B7139" w:rsidRDefault="005858C8" w:rsidP="00D73466">
            <w:pPr>
              <w:jc w:val="center"/>
            </w:pPr>
            <w:r w:rsidRPr="004B7139">
              <w:t>0.6</w:t>
            </w:r>
          </w:p>
        </w:tc>
        <w:tc>
          <w:tcPr>
            <w:tcW w:w="1223" w:type="dxa"/>
          </w:tcPr>
          <w:p w:rsidR="005858C8" w:rsidRPr="004B7139" w:rsidRDefault="005858C8" w:rsidP="00D73466">
            <w:pPr>
              <w:jc w:val="center"/>
            </w:pPr>
            <w:r w:rsidRPr="004B7139">
              <w:t>1.5</w:t>
            </w:r>
          </w:p>
        </w:tc>
        <w:tc>
          <w:tcPr>
            <w:tcW w:w="1223" w:type="dxa"/>
          </w:tcPr>
          <w:p w:rsidR="005858C8" w:rsidRPr="004B7139" w:rsidRDefault="005858C8" w:rsidP="00D73466">
            <w:pPr>
              <w:jc w:val="center"/>
            </w:pPr>
            <w:r w:rsidRPr="004B7139">
              <w:t>2.3</w:t>
            </w:r>
          </w:p>
        </w:tc>
        <w:tc>
          <w:tcPr>
            <w:tcW w:w="1223" w:type="dxa"/>
          </w:tcPr>
          <w:p w:rsidR="005858C8" w:rsidRPr="004B7139" w:rsidRDefault="005858C8" w:rsidP="00D73466">
            <w:pPr>
              <w:jc w:val="center"/>
            </w:pPr>
            <w:r w:rsidRPr="004B7139">
              <w:t>3.3</w:t>
            </w:r>
          </w:p>
        </w:tc>
        <w:tc>
          <w:tcPr>
            <w:tcW w:w="1223" w:type="dxa"/>
          </w:tcPr>
          <w:p w:rsidR="005858C8" w:rsidRPr="004B7139" w:rsidRDefault="005858C8" w:rsidP="00D73466">
            <w:pPr>
              <w:jc w:val="center"/>
            </w:pPr>
            <w:r w:rsidRPr="004B7139">
              <w:t>4.7</w:t>
            </w:r>
          </w:p>
        </w:tc>
        <w:tc>
          <w:tcPr>
            <w:tcW w:w="1223" w:type="dxa"/>
          </w:tcPr>
          <w:p w:rsidR="005858C8" w:rsidRPr="004B7139" w:rsidRDefault="005858C8" w:rsidP="00D73466">
            <w:pPr>
              <w:jc w:val="center"/>
            </w:pPr>
            <w:r w:rsidRPr="004B7139">
              <w:t>6.0</w:t>
            </w:r>
          </w:p>
        </w:tc>
        <w:tc>
          <w:tcPr>
            <w:tcW w:w="1223" w:type="dxa"/>
          </w:tcPr>
          <w:p w:rsidR="005858C8" w:rsidRPr="004B7139" w:rsidRDefault="005858C8" w:rsidP="00D73466">
            <w:pPr>
              <w:jc w:val="center"/>
            </w:pPr>
            <w:r w:rsidRPr="004B7139">
              <w:t>7.0</w:t>
            </w:r>
          </w:p>
        </w:tc>
        <w:tc>
          <w:tcPr>
            <w:tcW w:w="1223" w:type="dxa"/>
          </w:tcPr>
          <w:p w:rsidR="005858C8" w:rsidRPr="004B7139" w:rsidRDefault="005858C8" w:rsidP="00D73466">
            <w:pPr>
              <w:jc w:val="center"/>
            </w:pPr>
            <w:r w:rsidRPr="004B7139">
              <w:t>7.6</w:t>
            </w:r>
          </w:p>
        </w:tc>
        <w:tc>
          <w:tcPr>
            <w:tcW w:w="1223" w:type="dxa"/>
          </w:tcPr>
          <w:p w:rsidR="005858C8" w:rsidRDefault="005858C8" w:rsidP="00D73466">
            <w:pPr>
              <w:jc w:val="center"/>
            </w:pPr>
            <w:r w:rsidRPr="004B7139">
              <w:t>9.1</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Public services</w:t>
            </w:r>
          </w:p>
        </w:tc>
        <w:tc>
          <w:tcPr>
            <w:tcW w:w="1223" w:type="dxa"/>
          </w:tcPr>
          <w:p w:rsidR="005858C8" w:rsidRPr="00DD0706" w:rsidRDefault="005858C8" w:rsidP="00D73466">
            <w:pPr>
              <w:jc w:val="center"/>
            </w:pPr>
            <w:r w:rsidRPr="00DD0706">
              <w:t>0.1</w:t>
            </w:r>
          </w:p>
        </w:tc>
        <w:tc>
          <w:tcPr>
            <w:tcW w:w="1223" w:type="dxa"/>
          </w:tcPr>
          <w:p w:rsidR="005858C8" w:rsidRPr="00DD0706" w:rsidRDefault="005858C8" w:rsidP="00D73466">
            <w:pPr>
              <w:jc w:val="center"/>
            </w:pPr>
            <w:r w:rsidRPr="00DD0706">
              <w:t>0.2</w:t>
            </w:r>
          </w:p>
        </w:tc>
        <w:tc>
          <w:tcPr>
            <w:tcW w:w="1223" w:type="dxa"/>
          </w:tcPr>
          <w:p w:rsidR="005858C8" w:rsidRPr="00DD0706" w:rsidRDefault="005858C8" w:rsidP="00D73466">
            <w:pPr>
              <w:jc w:val="center"/>
            </w:pPr>
            <w:r w:rsidRPr="00DD0706">
              <w:t>0.4</w:t>
            </w:r>
          </w:p>
        </w:tc>
        <w:tc>
          <w:tcPr>
            <w:tcW w:w="1223" w:type="dxa"/>
          </w:tcPr>
          <w:p w:rsidR="005858C8" w:rsidRPr="00DD0706" w:rsidRDefault="005858C8" w:rsidP="00D73466">
            <w:pPr>
              <w:jc w:val="center"/>
            </w:pPr>
            <w:r w:rsidRPr="00DD0706">
              <w:t>0.5</w:t>
            </w:r>
          </w:p>
        </w:tc>
        <w:tc>
          <w:tcPr>
            <w:tcW w:w="1223" w:type="dxa"/>
          </w:tcPr>
          <w:p w:rsidR="005858C8" w:rsidRPr="00DD0706" w:rsidRDefault="005858C8" w:rsidP="00D73466">
            <w:pPr>
              <w:jc w:val="center"/>
            </w:pPr>
            <w:r w:rsidRPr="00DD0706">
              <w:t>0.7</w:t>
            </w:r>
          </w:p>
        </w:tc>
        <w:tc>
          <w:tcPr>
            <w:tcW w:w="1223" w:type="dxa"/>
          </w:tcPr>
          <w:p w:rsidR="005858C8" w:rsidRPr="00DD0706" w:rsidRDefault="005858C8" w:rsidP="00D73466">
            <w:pPr>
              <w:jc w:val="center"/>
            </w:pPr>
            <w:r w:rsidRPr="00DD0706">
              <w:t>1.0</w:t>
            </w:r>
          </w:p>
        </w:tc>
        <w:tc>
          <w:tcPr>
            <w:tcW w:w="1223" w:type="dxa"/>
          </w:tcPr>
          <w:p w:rsidR="005858C8" w:rsidRPr="00DD0706" w:rsidRDefault="005858C8" w:rsidP="00D73466">
            <w:pPr>
              <w:jc w:val="center"/>
            </w:pPr>
            <w:r w:rsidRPr="00DD0706">
              <w:t>1.2</w:t>
            </w:r>
          </w:p>
        </w:tc>
        <w:tc>
          <w:tcPr>
            <w:tcW w:w="1223" w:type="dxa"/>
          </w:tcPr>
          <w:p w:rsidR="005858C8" w:rsidRPr="00DD0706" w:rsidRDefault="005858C8" w:rsidP="00D73466">
            <w:pPr>
              <w:jc w:val="center"/>
            </w:pPr>
            <w:r w:rsidRPr="00DD0706">
              <w:t>1.1</w:t>
            </w:r>
          </w:p>
        </w:tc>
        <w:tc>
          <w:tcPr>
            <w:tcW w:w="1223" w:type="dxa"/>
          </w:tcPr>
          <w:p w:rsidR="005858C8" w:rsidRDefault="005858C8" w:rsidP="00D73466">
            <w:pPr>
              <w:jc w:val="center"/>
            </w:pPr>
            <w:r w:rsidRPr="00DD0706">
              <w:t>1.2</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Nominal GDP</w:t>
            </w:r>
          </w:p>
        </w:tc>
        <w:tc>
          <w:tcPr>
            <w:tcW w:w="1223" w:type="dxa"/>
          </w:tcPr>
          <w:p w:rsidR="005858C8" w:rsidRPr="00406E40" w:rsidRDefault="005858C8" w:rsidP="00D73466">
            <w:pPr>
              <w:jc w:val="center"/>
            </w:pPr>
            <w:r w:rsidRPr="00406E40">
              <w:t>0.6</w:t>
            </w:r>
          </w:p>
        </w:tc>
        <w:tc>
          <w:tcPr>
            <w:tcW w:w="1223" w:type="dxa"/>
          </w:tcPr>
          <w:p w:rsidR="005858C8" w:rsidRPr="00406E40" w:rsidRDefault="005858C8" w:rsidP="00D73466">
            <w:pPr>
              <w:jc w:val="center"/>
            </w:pPr>
            <w:r w:rsidRPr="00406E40">
              <w:t>1.5</w:t>
            </w:r>
          </w:p>
        </w:tc>
        <w:tc>
          <w:tcPr>
            <w:tcW w:w="1223" w:type="dxa"/>
          </w:tcPr>
          <w:p w:rsidR="005858C8" w:rsidRPr="00406E40" w:rsidRDefault="005858C8" w:rsidP="00D73466">
            <w:pPr>
              <w:jc w:val="center"/>
            </w:pPr>
            <w:r w:rsidRPr="00406E40">
              <w:t>2.3</w:t>
            </w:r>
          </w:p>
        </w:tc>
        <w:tc>
          <w:tcPr>
            <w:tcW w:w="1223" w:type="dxa"/>
          </w:tcPr>
          <w:p w:rsidR="005858C8" w:rsidRPr="00406E40" w:rsidRDefault="005858C8" w:rsidP="00D73466">
            <w:pPr>
              <w:jc w:val="center"/>
            </w:pPr>
            <w:r w:rsidRPr="00406E40">
              <w:t>3.7</w:t>
            </w:r>
          </w:p>
        </w:tc>
        <w:tc>
          <w:tcPr>
            <w:tcW w:w="1223" w:type="dxa"/>
          </w:tcPr>
          <w:p w:rsidR="005858C8" w:rsidRPr="00406E40" w:rsidRDefault="005858C8" w:rsidP="00D73466">
            <w:pPr>
              <w:jc w:val="center"/>
            </w:pPr>
            <w:r w:rsidRPr="00406E40">
              <w:t>5.5</w:t>
            </w:r>
          </w:p>
        </w:tc>
        <w:tc>
          <w:tcPr>
            <w:tcW w:w="1223" w:type="dxa"/>
          </w:tcPr>
          <w:p w:rsidR="005858C8" w:rsidRPr="00406E40" w:rsidRDefault="005858C8" w:rsidP="00D73466">
            <w:pPr>
              <w:jc w:val="center"/>
            </w:pPr>
            <w:r w:rsidRPr="00406E40">
              <w:t>7.2</w:t>
            </w:r>
          </w:p>
        </w:tc>
        <w:tc>
          <w:tcPr>
            <w:tcW w:w="1223" w:type="dxa"/>
          </w:tcPr>
          <w:p w:rsidR="005858C8" w:rsidRPr="00406E40" w:rsidRDefault="005858C8" w:rsidP="00D73466">
            <w:pPr>
              <w:jc w:val="center"/>
            </w:pPr>
            <w:r w:rsidRPr="00406E40">
              <w:t>7.9</w:t>
            </w:r>
          </w:p>
        </w:tc>
        <w:tc>
          <w:tcPr>
            <w:tcW w:w="1223" w:type="dxa"/>
          </w:tcPr>
          <w:p w:rsidR="005858C8" w:rsidRPr="00406E40" w:rsidRDefault="005858C8" w:rsidP="00D73466">
            <w:pPr>
              <w:jc w:val="center"/>
            </w:pPr>
            <w:r w:rsidRPr="00406E40">
              <w:t>8.2</w:t>
            </w:r>
          </w:p>
        </w:tc>
        <w:tc>
          <w:tcPr>
            <w:tcW w:w="1223" w:type="dxa"/>
          </w:tcPr>
          <w:p w:rsidR="005858C8" w:rsidRDefault="005858C8" w:rsidP="00D73466">
            <w:pPr>
              <w:jc w:val="center"/>
            </w:pPr>
            <w:r w:rsidRPr="00406E40">
              <w:t>9.6</w:t>
            </w:r>
          </w:p>
        </w:tc>
      </w:tr>
      <w:tr w:rsidR="005858C8" w:rsidRPr="00D31979" w:rsidTr="00D73466">
        <w:tc>
          <w:tcPr>
            <w:tcW w:w="3168" w:type="dxa"/>
          </w:tcPr>
          <w:p w:rsidR="005858C8" w:rsidRPr="00D31979" w:rsidRDefault="005858C8" w:rsidP="00D73466">
            <w:pPr>
              <w:jc w:val="left"/>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GDP expenditure components in constant prices</w:t>
            </w: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Private consumption</w:t>
            </w:r>
          </w:p>
        </w:tc>
        <w:tc>
          <w:tcPr>
            <w:tcW w:w="1223" w:type="dxa"/>
          </w:tcPr>
          <w:p w:rsidR="005858C8" w:rsidRPr="00BB527A" w:rsidRDefault="005858C8" w:rsidP="00D73466">
            <w:pPr>
              <w:jc w:val="center"/>
            </w:pPr>
            <w:r w:rsidRPr="00BB527A">
              <w:t>0.3</w:t>
            </w:r>
          </w:p>
        </w:tc>
        <w:tc>
          <w:tcPr>
            <w:tcW w:w="1223" w:type="dxa"/>
          </w:tcPr>
          <w:p w:rsidR="005858C8" w:rsidRPr="00BB527A" w:rsidRDefault="005858C8" w:rsidP="00D73466">
            <w:pPr>
              <w:jc w:val="center"/>
            </w:pPr>
            <w:r w:rsidRPr="00BB527A">
              <w:t>0.4</w:t>
            </w:r>
          </w:p>
        </w:tc>
        <w:tc>
          <w:tcPr>
            <w:tcW w:w="1223" w:type="dxa"/>
          </w:tcPr>
          <w:p w:rsidR="005858C8" w:rsidRPr="00BB527A" w:rsidRDefault="005858C8" w:rsidP="00D73466">
            <w:pPr>
              <w:jc w:val="center"/>
            </w:pPr>
            <w:r w:rsidRPr="00BB527A">
              <w:t>0.7</w:t>
            </w:r>
          </w:p>
        </w:tc>
        <w:tc>
          <w:tcPr>
            <w:tcW w:w="1223" w:type="dxa"/>
          </w:tcPr>
          <w:p w:rsidR="005858C8" w:rsidRPr="00BB527A" w:rsidRDefault="005858C8" w:rsidP="00D73466">
            <w:pPr>
              <w:jc w:val="center"/>
            </w:pPr>
            <w:r w:rsidRPr="00BB527A">
              <w:t>1.3</w:t>
            </w:r>
          </w:p>
        </w:tc>
        <w:tc>
          <w:tcPr>
            <w:tcW w:w="1223" w:type="dxa"/>
          </w:tcPr>
          <w:p w:rsidR="005858C8" w:rsidRPr="00BB527A" w:rsidRDefault="005858C8" w:rsidP="00D73466">
            <w:pPr>
              <w:jc w:val="center"/>
            </w:pPr>
            <w:r w:rsidRPr="00BB527A">
              <w:t>1.9</w:t>
            </w:r>
          </w:p>
        </w:tc>
        <w:tc>
          <w:tcPr>
            <w:tcW w:w="1223" w:type="dxa"/>
          </w:tcPr>
          <w:p w:rsidR="005858C8" w:rsidRPr="00BB527A" w:rsidRDefault="005858C8" w:rsidP="00D73466">
            <w:pPr>
              <w:jc w:val="center"/>
            </w:pPr>
            <w:r w:rsidRPr="00BB527A">
              <w:t>2.7</w:t>
            </w:r>
          </w:p>
        </w:tc>
        <w:tc>
          <w:tcPr>
            <w:tcW w:w="1223" w:type="dxa"/>
          </w:tcPr>
          <w:p w:rsidR="005858C8" w:rsidRPr="00BB527A" w:rsidRDefault="005858C8" w:rsidP="00D73466">
            <w:pPr>
              <w:jc w:val="center"/>
            </w:pPr>
            <w:r w:rsidRPr="00BB527A">
              <w:t>3.3</w:t>
            </w:r>
          </w:p>
        </w:tc>
        <w:tc>
          <w:tcPr>
            <w:tcW w:w="1223" w:type="dxa"/>
          </w:tcPr>
          <w:p w:rsidR="005858C8" w:rsidRPr="00BB527A" w:rsidRDefault="005858C8" w:rsidP="00D73466">
            <w:pPr>
              <w:jc w:val="center"/>
            </w:pPr>
            <w:r w:rsidRPr="00BB527A">
              <w:t>4.3</w:t>
            </w:r>
          </w:p>
        </w:tc>
        <w:tc>
          <w:tcPr>
            <w:tcW w:w="1223" w:type="dxa"/>
          </w:tcPr>
          <w:p w:rsidR="005858C8" w:rsidRDefault="005858C8" w:rsidP="00D73466">
            <w:pPr>
              <w:jc w:val="center"/>
            </w:pPr>
            <w:r w:rsidRPr="00BB527A">
              <w:t>5.8</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Public consumption</w:t>
            </w:r>
          </w:p>
        </w:tc>
        <w:tc>
          <w:tcPr>
            <w:tcW w:w="1223" w:type="dxa"/>
          </w:tcPr>
          <w:p w:rsidR="005858C8" w:rsidRPr="005750B1" w:rsidRDefault="005858C8" w:rsidP="00D73466">
            <w:pPr>
              <w:jc w:val="center"/>
            </w:pPr>
            <w:r w:rsidRPr="005750B1">
              <w:t>0.1</w:t>
            </w:r>
          </w:p>
        </w:tc>
        <w:tc>
          <w:tcPr>
            <w:tcW w:w="1223" w:type="dxa"/>
          </w:tcPr>
          <w:p w:rsidR="005858C8" w:rsidRPr="005750B1" w:rsidRDefault="005858C8" w:rsidP="00D73466">
            <w:pPr>
              <w:jc w:val="center"/>
            </w:pPr>
            <w:r w:rsidRPr="005750B1">
              <w:t>0.3</w:t>
            </w:r>
          </w:p>
        </w:tc>
        <w:tc>
          <w:tcPr>
            <w:tcW w:w="1223" w:type="dxa"/>
          </w:tcPr>
          <w:p w:rsidR="005858C8" w:rsidRPr="005750B1" w:rsidRDefault="005858C8" w:rsidP="00D73466">
            <w:pPr>
              <w:jc w:val="center"/>
            </w:pPr>
            <w:r w:rsidRPr="005750B1">
              <w:t>0.4</w:t>
            </w:r>
          </w:p>
        </w:tc>
        <w:tc>
          <w:tcPr>
            <w:tcW w:w="1223" w:type="dxa"/>
          </w:tcPr>
          <w:p w:rsidR="005858C8" w:rsidRPr="005750B1" w:rsidRDefault="005858C8" w:rsidP="00D73466">
            <w:pPr>
              <w:jc w:val="center"/>
            </w:pPr>
            <w:r w:rsidRPr="005750B1">
              <w:t>0.7</w:t>
            </w:r>
          </w:p>
        </w:tc>
        <w:tc>
          <w:tcPr>
            <w:tcW w:w="1223" w:type="dxa"/>
          </w:tcPr>
          <w:p w:rsidR="005858C8" w:rsidRPr="005750B1" w:rsidRDefault="005858C8" w:rsidP="00D73466">
            <w:pPr>
              <w:jc w:val="center"/>
            </w:pPr>
            <w:r w:rsidRPr="005750B1">
              <w:t>1.0</w:t>
            </w:r>
          </w:p>
        </w:tc>
        <w:tc>
          <w:tcPr>
            <w:tcW w:w="1223" w:type="dxa"/>
          </w:tcPr>
          <w:p w:rsidR="005858C8" w:rsidRPr="005750B1" w:rsidRDefault="005858C8" w:rsidP="00D73466">
            <w:pPr>
              <w:jc w:val="center"/>
            </w:pPr>
            <w:r w:rsidRPr="005750B1">
              <w:t>1.3</w:t>
            </w:r>
          </w:p>
        </w:tc>
        <w:tc>
          <w:tcPr>
            <w:tcW w:w="1223" w:type="dxa"/>
          </w:tcPr>
          <w:p w:rsidR="005858C8" w:rsidRPr="005750B1" w:rsidRDefault="005858C8" w:rsidP="00D73466">
            <w:pPr>
              <w:jc w:val="center"/>
            </w:pPr>
            <w:r w:rsidRPr="005750B1">
              <w:t>1.4</w:t>
            </w:r>
          </w:p>
        </w:tc>
        <w:tc>
          <w:tcPr>
            <w:tcW w:w="1223" w:type="dxa"/>
          </w:tcPr>
          <w:p w:rsidR="005858C8" w:rsidRPr="005750B1" w:rsidRDefault="005858C8" w:rsidP="00D73466">
            <w:pPr>
              <w:jc w:val="center"/>
            </w:pPr>
            <w:r w:rsidRPr="005750B1">
              <w:t>1.2</w:t>
            </w:r>
          </w:p>
        </w:tc>
        <w:tc>
          <w:tcPr>
            <w:tcW w:w="1223" w:type="dxa"/>
          </w:tcPr>
          <w:p w:rsidR="005858C8" w:rsidRDefault="005858C8" w:rsidP="00D73466">
            <w:pPr>
              <w:jc w:val="center"/>
            </w:pPr>
            <w:r w:rsidRPr="005750B1">
              <w:t>1.3</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Investment</w:t>
            </w:r>
          </w:p>
        </w:tc>
        <w:tc>
          <w:tcPr>
            <w:tcW w:w="1223" w:type="dxa"/>
          </w:tcPr>
          <w:p w:rsidR="005858C8" w:rsidRPr="009D6350" w:rsidRDefault="005858C8" w:rsidP="00D73466">
            <w:pPr>
              <w:jc w:val="center"/>
            </w:pPr>
            <w:r w:rsidRPr="009D6350">
              <w:t>1.6</w:t>
            </w:r>
          </w:p>
        </w:tc>
        <w:tc>
          <w:tcPr>
            <w:tcW w:w="1223" w:type="dxa"/>
          </w:tcPr>
          <w:p w:rsidR="005858C8" w:rsidRPr="009D6350" w:rsidRDefault="005858C8" w:rsidP="00D73466">
            <w:pPr>
              <w:jc w:val="center"/>
            </w:pPr>
            <w:r w:rsidRPr="009D6350">
              <w:t>1.5</w:t>
            </w:r>
          </w:p>
        </w:tc>
        <w:tc>
          <w:tcPr>
            <w:tcW w:w="1223" w:type="dxa"/>
          </w:tcPr>
          <w:p w:rsidR="005858C8" w:rsidRPr="009D6350" w:rsidRDefault="005858C8" w:rsidP="00D73466">
            <w:pPr>
              <w:jc w:val="center"/>
            </w:pPr>
            <w:r w:rsidRPr="009D6350">
              <w:t>3.9</w:t>
            </w:r>
          </w:p>
        </w:tc>
        <w:tc>
          <w:tcPr>
            <w:tcW w:w="1223" w:type="dxa"/>
          </w:tcPr>
          <w:p w:rsidR="005858C8" w:rsidRPr="009D6350" w:rsidRDefault="005858C8" w:rsidP="00D73466">
            <w:pPr>
              <w:jc w:val="center"/>
            </w:pPr>
            <w:r w:rsidRPr="009D6350">
              <w:t>7.3</w:t>
            </w:r>
          </w:p>
        </w:tc>
        <w:tc>
          <w:tcPr>
            <w:tcW w:w="1223" w:type="dxa"/>
          </w:tcPr>
          <w:p w:rsidR="005858C8" w:rsidRPr="009D6350" w:rsidRDefault="005858C8" w:rsidP="00D73466">
            <w:pPr>
              <w:jc w:val="center"/>
            </w:pPr>
            <w:r w:rsidRPr="009D6350">
              <w:t>1.7</w:t>
            </w:r>
          </w:p>
        </w:tc>
        <w:tc>
          <w:tcPr>
            <w:tcW w:w="1223" w:type="dxa"/>
          </w:tcPr>
          <w:p w:rsidR="005858C8" w:rsidRPr="009D6350" w:rsidRDefault="005858C8" w:rsidP="00D73466">
            <w:pPr>
              <w:jc w:val="center"/>
            </w:pPr>
            <w:r w:rsidRPr="009D6350">
              <w:t>5.5</w:t>
            </w:r>
          </w:p>
        </w:tc>
        <w:tc>
          <w:tcPr>
            <w:tcW w:w="1223" w:type="dxa"/>
          </w:tcPr>
          <w:p w:rsidR="005858C8" w:rsidRPr="009D6350" w:rsidRDefault="005858C8" w:rsidP="00D73466">
            <w:pPr>
              <w:jc w:val="center"/>
            </w:pPr>
            <w:r w:rsidRPr="009D6350">
              <w:t>5.5</w:t>
            </w:r>
          </w:p>
        </w:tc>
        <w:tc>
          <w:tcPr>
            <w:tcW w:w="1223" w:type="dxa"/>
          </w:tcPr>
          <w:p w:rsidR="005858C8" w:rsidRPr="009D6350" w:rsidRDefault="005858C8" w:rsidP="00D73466">
            <w:pPr>
              <w:jc w:val="center"/>
            </w:pPr>
            <w:r w:rsidRPr="009D6350">
              <w:t>12.1</w:t>
            </w:r>
          </w:p>
        </w:tc>
        <w:tc>
          <w:tcPr>
            <w:tcW w:w="1223" w:type="dxa"/>
          </w:tcPr>
          <w:p w:rsidR="005858C8" w:rsidRDefault="005858C8" w:rsidP="00D73466">
            <w:pPr>
              <w:jc w:val="center"/>
            </w:pPr>
            <w:r w:rsidRPr="009D6350">
              <w:t>26.9</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Exports of goods and services</w:t>
            </w:r>
          </w:p>
        </w:tc>
        <w:tc>
          <w:tcPr>
            <w:tcW w:w="1223" w:type="dxa"/>
          </w:tcPr>
          <w:p w:rsidR="005858C8" w:rsidRPr="00DF4B1F" w:rsidRDefault="005858C8" w:rsidP="00D73466">
            <w:pPr>
              <w:jc w:val="center"/>
            </w:pPr>
            <w:r w:rsidRPr="00DF4B1F">
              <w:t>-0.1</w:t>
            </w:r>
          </w:p>
        </w:tc>
        <w:tc>
          <w:tcPr>
            <w:tcW w:w="1223" w:type="dxa"/>
          </w:tcPr>
          <w:p w:rsidR="005858C8" w:rsidRPr="00DF4B1F" w:rsidRDefault="005858C8" w:rsidP="00D73466">
            <w:pPr>
              <w:jc w:val="center"/>
            </w:pPr>
            <w:r w:rsidRPr="00DF4B1F">
              <w:t>-0.1</w:t>
            </w:r>
          </w:p>
        </w:tc>
        <w:tc>
          <w:tcPr>
            <w:tcW w:w="1223" w:type="dxa"/>
          </w:tcPr>
          <w:p w:rsidR="005858C8" w:rsidRPr="00DF4B1F" w:rsidRDefault="005858C8" w:rsidP="00D73466">
            <w:pPr>
              <w:jc w:val="center"/>
            </w:pPr>
            <w:r w:rsidRPr="00DF4B1F">
              <w:t>0.0</w:t>
            </w:r>
          </w:p>
        </w:tc>
        <w:tc>
          <w:tcPr>
            <w:tcW w:w="1223" w:type="dxa"/>
          </w:tcPr>
          <w:p w:rsidR="005858C8" w:rsidRPr="00DF4B1F" w:rsidRDefault="005858C8" w:rsidP="00D73466">
            <w:pPr>
              <w:jc w:val="center"/>
            </w:pPr>
            <w:r w:rsidRPr="00DF4B1F">
              <w:t>-0.1</w:t>
            </w:r>
          </w:p>
        </w:tc>
        <w:tc>
          <w:tcPr>
            <w:tcW w:w="1223" w:type="dxa"/>
          </w:tcPr>
          <w:p w:rsidR="005858C8" w:rsidRPr="00DF4B1F" w:rsidRDefault="005858C8" w:rsidP="00D73466">
            <w:pPr>
              <w:jc w:val="center"/>
            </w:pPr>
            <w:r w:rsidRPr="00DF4B1F">
              <w:t>-0.1</w:t>
            </w:r>
          </w:p>
        </w:tc>
        <w:tc>
          <w:tcPr>
            <w:tcW w:w="1223" w:type="dxa"/>
          </w:tcPr>
          <w:p w:rsidR="005858C8" w:rsidRPr="00DF4B1F" w:rsidRDefault="005858C8" w:rsidP="00D73466">
            <w:pPr>
              <w:jc w:val="center"/>
            </w:pPr>
            <w:r w:rsidRPr="00DF4B1F">
              <w:t>0.1</w:t>
            </w:r>
          </w:p>
        </w:tc>
        <w:tc>
          <w:tcPr>
            <w:tcW w:w="1223" w:type="dxa"/>
          </w:tcPr>
          <w:p w:rsidR="005858C8" w:rsidRPr="00DF4B1F" w:rsidRDefault="005858C8" w:rsidP="00D73466">
            <w:pPr>
              <w:jc w:val="center"/>
            </w:pPr>
            <w:r w:rsidRPr="00DF4B1F">
              <w:t>0.2</w:t>
            </w:r>
          </w:p>
        </w:tc>
        <w:tc>
          <w:tcPr>
            <w:tcW w:w="1223" w:type="dxa"/>
          </w:tcPr>
          <w:p w:rsidR="005858C8" w:rsidRPr="00DF4B1F" w:rsidRDefault="005858C8" w:rsidP="00D73466">
            <w:pPr>
              <w:jc w:val="center"/>
            </w:pPr>
            <w:r w:rsidRPr="00DF4B1F">
              <w:t>0.3</w:t>
            </w:r>
          </w:p>
        </w:tc>
        <w:tc>
          <w:tcPr>
            <w:tcW w:w="1223" w:type="dxa"/>
          </w:tcPr>
          <w:p w:rsidR="005858C8" w:rsidRPr="00DF4B1F" w:rsidRDefault="005858C8" w:rsidP="00D73466">
            <w:pPr>
              <w:jc w:val="center"/>
            </w:pPr>
            <w:r w:rsidRPr="00DF4B1F">
              <w:t>-0.6</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Imports of goods and services</w:t>
            </w:r>
          </w:p>
        </w:tc>
        <w:tc>
          <w:tcPr>
            <w:tcW w:w="1223" w:type="dxa"/>
          </w:tcPr>
          <w:p w:rsidR="005858C8" w:rsidRPr="00DF4B1F" w:rsidRDefault="005858C8" w:rsidP="00D73466">
            <w:pPr>
              <w:jc w:val="center"/>
            </w:pPr>
            <w:r w:rsidRPr="00DF4B1F">
              <w:t>0.6</w:t>
            </w:r>
          </w:p>
        </w:tc>
        <w:tc>
          <w:tcPr>
            <w:tcW w:w="1223" w:type="dxa"/>
          </w:tcPr>
          <w:p w:rsidR="005858C8" w:rsidRPr="00DF4B1F" w:rsidRDefault="005858C8" w:rsidP="00D73466">
            <w:pPr>
              <w:jc w:val="center"/>
            </w:pPr>
            <w:r w:rsidRPr="00DF4B1F">
              <w:t>0.7</w:t>
            </w:r>
          </w:p>
        </w:tc>
        <w:tc>
          <w:tcPr>
            <w:tcW w:w="1223" w:type="dxa"/>
          </w:tcPr>
          <w:p w:rsidR="005858C8" w:rsidRPr="00DF4B1F" w:rsidRDefault="005858C8" w:rsidP="00D73466">
            <w:pPr>
              <w:jc w:val="center"/>
            </w:pPr>
            <w:r w:rsidRPr="00DF4B1F">
              <w:t>1.4</w:t>
            </w:r>
          </w:p>
        </w:tc>
        <w:tc>
          <w:tcPr>
            <w:tcW w:w="1223" w:type="dxa"/>
          </w:tcPr>
          <w:p w:rsidR="005858C8" w:rsidRPr="00DF4B1F" w:rsidRDefault="005858C8" w:rsidP="00D73466">
            <w:pPr>
              <w:jc w:val="center"/>
            </w:pPr>
            <w:r w:rsidRPr="00DF4B1F">
              <w:t>3.3</w:t>
            </w:r>
          </w:p>
        </w:tc>
        <w:tc>
          <w:tcPr>
            <w:tcW w:w="1223" w:type="dxa"/>
          </w:tcPr>
          <w:p w:rsidR="005858C8" w:rsidRPr="00DF4B1F" w:rsidRDefault="005858C8" w:rsidP="00D73466">
            <w:pPr>
              <w:jc w:val="center"/>
            </w:pPr>
            <w:r w:rsidRPr="00DF4B1F">
              <w:t>1.9</w:t>
            </w:r>
          </w:p>
        </w:tc>
        <w:tc>
          <w:tcPr>
            <w:tcW w:w="1223" w:type="dxa"/>
          </w:tcPr>
          <w:p w:rsidR="005858C8" w:rsidRPr="00DF4B1F" w:rsidRDefault="005858C8" w:rsidP="00D73466">
            <w:pPr>
              <w:jc w:val="center"/>
            </w:pPr>
            <w:r w:rsidRPr="00DF4B1F">
              <w:t>3.5</w:t>
            </w:r>
          </w:p>
        </w:tc>
        <w:tc>
          <w:tcPr>
            <w:tcW w:w="1223" w:type="dxa"/>
          </w:tcPr>
          <w:p w:rsidR="005858C8" w:rsidRPr="00DF4B1F" w:rsidRDefault="005858C8" w:rsidP="00D73466">
            <w:pPr>
              <w:jc w:val="center"/>
            </w:pPr>
            <w:r w:rsidRPr="00DF4B1F">
              <w:t>3.9</w:t>
            </w:r>
          </w:p>
        </w:tc>
        <w:tc>
          <w:tcPr>
            <w:tcW w:w="1223" w:type="dxa"/>
          </w:tcPr>
          <w:p w:rsidR="005858C8" w:rsidRPr="00DF4B1F" w:rsidRDefault="005858C8" w:rsidP="00D73466">
            <w:pPr>
              <w:jc w:val="center"/>
            </w:pPr>
            <w:r w:rsidRPr="00DF4B1F">
              <w:t>6.1</w:t>
            </w:r>
          </w:p>
        </w:tc>
        <w:tc>
          <w:tcPr>
            <w:tcW w:w="1223" w:type="dxa"/>
          </w:tcPr>
          <w:p w:rsidR="005858C8" w:rsidRDefault="005858C8" w:rsidP="00D73466">
            <w:pPr>
              <w:jc w:val="center"/>
            </w:pPr>
            <w:r w:rsidRPr="00DF4B1F">
              <w:t>11.5</w:t>
            </w:r>
          </w:p>
        </w:tc>
      </w:tr>
      <w:tr w:rsidR="005858C8" w:rsidRPr="00D31979" w:rsidTr="00D73466">
        <w:tc>
          <w:tcPr>
            <w:tcW w:w="3168" w:type="dxa"/>
          </w:tcPr>
          <w:p w:rsidR="005858C8" w:rsidRPr="00D31979" w:rsidRDefault="005858C8" w:rsidP="00D73466">
            <w:pPr>
              <w:jc w:val="left"/>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Number of persons employed</w:t>
            </w:r>
          </w:p>
        </w:tc>
        <w:tc>
          <w:tcPr>
            <w:tcW w:w="1223" w:type="dxa"/>
          </w:tcPr>
          <w:p w:rsidR="005858C8" w:rsidRPr="005C1A45" w:rsidRDefault="005858C8" w:rsidP="00D73466">
            <w:pPr>
              <w:jc w:val="center"/>
            </w:pPr>
            <w:r w:rsidRPr="005C1A45">
              <w:t>0.1</w:t>
            </w:r>
          </w:p>
        </w:tc>
        <w:tc>
          <w:tcPr>
            <w:tcW w:w="1223" w:type="dxa"/>
          </w:tcPr>
          <w:p w:rsidR="005858C8" w:rsidRPr="005C1A45" w:rsidRDefault="005858C8" w:rsidP="00D73466">
            <w:pPr>
              <w:jc w:val="center"/>
            </w:pPr>
            <w:r w:rsidRPr="005C1A45">
              <w:t>0.3</w:t>
            </w:r>
          </w:p>
        </w:tc>
        <w:tc>
          <w:tcPr>
            <w:tcW w:w="1223" w:type="dxa"/>
          </w:tcPr>
          <w:p w:rsidR="005858C8" w:rsidRPr="005C1A45" w:rsidRDefault="005858C8" w:rsidP="00D73466">
            <w:pPr>
              <w:jc w:val="center"/>
            </w:pPr>
            <w:r w:rsidRPr="005C1A45">
              <w:t>0.5</w:t>
            </w:r>
          </w:p>
        </w:tc>
        <w:tc>
          <w:tcPr>
            <w:tcW w:w="1223" w:type="dxa"/>
          </w:tcPr>
          <w:p w:rsidR="005858C8" w:rsidRPr="005C1A45" w:rsidRDefault="005858C8" w:rsidP="00D73466">
            <w:pPr>
              <w:jc w:val="center"/>
            </w:pPr>
            <w:r w:rsidRPr="005C1A45">
              <w:t>0.5</w:t>
            </w:r>
          </w:p>
        </w:tc>
        <w:tc>
          <w:tcPr>
            <w:tcW w:w="1223" w:type="dxa"/>
          </w:tcPr>
          <w:p w:rsidR="005858C8" w:rsidRPr="005C1A45" w:rsidRDefault="005858C8" w:rsidP="00D73466">
            <w:pPr>
              <w:jc w:val="center"/>
            </w:pPr>
            <w:r w:rsidRPr="005C1A45">
              <w:t>0.9</w:t>
            </w:r>
          </w:p>
        </w:tc>
        <w:tc>
          <w:tcPr>
            <w:tcW w:w="1223" w:type="dxa"/>
          </w:tcPr>
          <w:p w:rsidR="005858C8" w:rsidRPr="005C1A45" w:rsidRDefault="005858C8" w:rsidP="00D73466">
            <w:pPr>
              <w:jc w:val="center"/>
            </w:pPr>
            <w:r w:rsidRPr="005C1A45">
              <w:t>1.4</w:t>
            </w:r>
          </w:p>
        </w:tc>
        <w:tc>
          <w:tcPr>
            <w:tcW w:w="1223" w:type="dxa"/>
          </w:tcPr>
          <w:p w:rsidR="005858C8" w:rsidRPr="005C1A45" w:rsidRDefault="005858C8" w:rsidP="00D73466">
            <w:pPr>
              <w:jc w:val="center"/>
            </w:pPr>
            <w:r w:rsidRPr="005C1A45">
              <w:t>1.5</w:t>
            </w:r>
          </w:p>
        </w:tc>
        <w:tc>
          <w:tcPr>
            <w:tcW w:w="1223" w:type="dxa"/>
          </w:tcPr>
          <w:p w:rsidR="005858C8" w:rsidRPr="005C1A45" w:rsidRDefault="005858C8" w:rsidP="00D73466">
            <w:pPr>
              <w:jc w:val="center"/>
            </w:pPr>
            <w:r w:rsidRPr="005C1A45">
              <w:t>1.5</w:t>
            </w:r>
          </w:p>
        </w:tc>
        <w:tc>
          <w:tcPr>
            <w:tcW w:w="1223" w:type="dxa"/>
          </w:tcPr>
          <w:p w:rsidR="005858C8" w:rsidRDefault="005858C8" w:rsidP="00D73466">
            <w:pPr>
              <w:jc w:val="center"/>
            </w:pPr>
            <w:r w:rsidRPr="005C1A45">
              <w:t>1.4</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Unemployment level, in percentage points</w:t>
            </w:r>
          </w:p>
        </w:tc>
        <w:tc>
          <w:tcPr>
            <w:tcW w:w="1223" w:type="dxa"/>
          </w:tcPr>
          <w:p w:rsidR="005858C8" w:rsidRPr="002C7DDE" w:rsidRDefault="005858C8" w:rsidP="00D73466">
            <w:pPr>
              <w:jc w:val="center"/>
            </w:pPr>
            <w:r w:rsidRPr="002C7DDE">
              <w:t>-0.1</w:t>
            </w:r>
          </w:p>
        </w:tc>
        <w:tc>
          <w:tcPr>
            <w:tcW w:w="1223" w:type="dxa"/>
          </w:tcPr>
          <w:p w:rsidR="005858C8" w:rsidRPr="002C7DDE" w:rsidRDefault="005858C8" w:rsidP="00D73466">
            <w:pPr>
              <w:jc w:val="center"/>
            </w:pPr>
            <w:r w:rsidRPr="002C7DDE">
              <w:t>-0.2</w:t>
            </w:r>
          </w:p>
        </w:tc>
        <w:tc>
          <w:tcPr>
            <w:tcW w:w="1223" w:type="dxa"/>
          </w:tcPr>
          <w:p w:rsidR="005858C8" w:rsidRPr="002C7DDE" w:rsidRDefault="005858C8" w:rsidP="00D73466">
            <w:pPr>
              <w:jc w:val="center"/>
            </w:pPr>
            <w:r w:rsidRPr="002C7DDE">
              <w:t>-0.4</w:t>
            </w:r>
          </w:p>
        </w:tc>
        <w:tc>
          <w:tcPr>
            <w:tcW w:w="1223" w:type="dxa"/>
          </w:tcPr>
          <w:p w:rsidR="005858C8" w:rsidRPr="002C7DDE" w:rsidRDefault="005858C8" w:rsidP="00D73466">
            <w:pPr>
              <w:jc w:val="center"/>
            </w:pPr>
            <w:r w:rsidRPr="002C7DDE">
              <w:t>-0.5</w:t>
            </w:r>
          </w:p>
        </w:tc>
        <w:tc>
          <w:tcPr>
            <w:tcW w:w="1223" w:type="dxa"/>
          </w:tcPr>
          <w:p w:rsidR="005858C8" w:rsidRPr="002C7DDE" w:rsidRDefault="005858C8" w:rsidP="00D73466">
            <w:pPr>
              <w:jc w:val="center"/>
            </w:pPr>
            <w:r w:rsidRPr="002C7DDE">
              <w:t>-0.8</w:t>
            </w:r>
          </w:p>
        </w:tc>
        <w:tc>
          <w:tcPr>
            <w:tcW w:w="1223" w:type="dxa"/>
          </w:tcPr>
          <w:p w:rsidR="005858C8" w:rsidRPr="002C7DDE" w:rsidRDefault="005858C8" w:rsidP="00D73466">
            <w:pPr>
              <w:jc w:val="center"/>
            </w:pPr>
            <w:r w:rsidRPr="002C7DDE">
              <w:t>-1.2</w:t>
            </w:r>
          </w:p>
        </w:tc>
        <w:tc>
          <w:tcPr>
            <w:tcW w:w="1223" w:type="dxa"/>
          </w:tcPr>
          <w:p w:rsidR="005858C8" w:rsidRPr="002C7DDE" w:rsidRDefault="005858C8" w:rsidP="00D73466">
            <w:pPr>
              <w:jc w:val="center"/>
            </w:pPr>
            <w:r w:rsidRPr="002C7DDE">
              <w:t>-1.2</w:t>
            </w:r>
          </w:p>
        </w:tc>
        <w:tc>
          <w:tcPr>
            <w:tcW w:w="1223" w:type="dxa"/>
          </w:tcPr>
          <w:p w:rsidR="005858C8" w:rsidRPr="002C7DDE" w:rsidRDefault="005858C8" w:rsidP="00D73466">
            <w:pPr>
              <w:jc w:val="center"/>
            </w:pPr>
            <w:r w:rsidRPr="002C7DDE">
              <w:t>-1.0</w:t>
            </w:r>
          </w:p>
        </w:tc>
        <w:tc>
          <w:tcPr>
            <w:tcW w:w="1223" w:type="dxa"/>
          </w:tcPr>
          <w:p w:rsidR="005858C8" w:rsidRDefault="005858C8" w:rsidP="00D73466">
            <w:pPr>
              <w:jc w:val="center"/>
            </w:pPr>
            <w:r w:rsidRPr="002C7DDE">
              <w:t>-0.9</w:t>
            </w:r>
          </w:p>
        </w:tc>
      </w:tr>
      <w:tr w:rsidR="005858C8" w:rsidRPr="00D31979" w:rsidTr="00D73466">
        <w:tc>
          <w:tcPr>
            <w:tcW w:w="3168" w:type="dxa"/>
          </w:tcPr>
          <w:p w:rsidR="005858C8" w:rsidRPr="00D31979" w:rsidRDefault="005858C8" w:rsidP="00D73466">
            <w:pPr>
              <w:jc w:val="left"/>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Nominal monthly wage</w:t>
            </w:r>
          </w:p>
        </w:tc>
        <w:tc>
          <w:tcPr>
            <w:tcW w:w="1223" w:type="dxa"/>
          </w:tcPr>
          <w:p w:rsidR="005858C8" w:rsidRPr="009B081E" w:rsidRDefault="005858C8" w:rsidP="00D73466">
            <w:pPr>
              <w:jc w:val="center"/>
            </w:pPr>
            <w:r w:rsidRPr="009B081E">
              <w:t>1.4</w:t>
            </w:r>
          </w:p>
        </w:tc>
        <w:tc>
          <w:tcPr>
            <w:tcW w:w="1223" w:type="dxa"/>
          </w:tcPr>
          <w:p w:rsidR="005858C8" w:rsidRPr="009B081E" w:rsidRDefault="005858C8" w:rsidP="00D73466">
            <w:pPr>
              <w:jc w:val="center"/>
            </w:pPr>
            <w:r w:rsidRPr="009B081E">
              <w:t>1.0</w:t>
            </w:r>
          </w:p>
        </w:tc>
        <w:tc>
          <w:tcPr>
            <w:tcW w:w="1223" w:type="dxa"/>
          </w:tcPr>
          <w:p w:rsidR="005858C8" w:rsidRPr="009B081E" w:rsidRDefault="005858C8" w:rsidP="00D73466">
            <w:pPr>
              <w:jc w:val="center"/>
            </w:pPr>
            <w:r w:rsidRPr="009B081E">
              <w:t>1.8</w:t>
            </w:r>
          </w:p>
        </w:tc>
        <w:tc>
          <w:tcPr>
            <w:tcW w:w="1223" w:type="dxa"/>
          </w:tcPr>
          <w:p w:rsidR="005858C8" w:rsidRPr="009B081E" w:rsidRDefault="005858C8" w:rsidP="00D73466">
            <w:pPr>
              <w:jc w:val="center"/>
            </w:pPr>
            <w:r w:rsidRPr="009B081E">
              <w:t>3.8</w:t>
            </w:r>
          </w:p>
        </w:tc>
        <w:tc>
          <w:tcPr>
            <w:tcW w:w="1223" w:type="dxa"/>
          </w:tcPr>
          <w:p w:rsidR="005858C8" w:rsidRPr="009B081E" w:rsidRDefault="005858C8" w:rsidP="00D73466">
            <w:pPr>
              <w:jc w:val="center"/>
            </w:pPr>
            <w:r w:rsidRPr="009B081E">
              <w:t>4.0</w:t>
            </w:r>
          </w:p>
        </w:tc>
        <w:tc>
          <w:tcPr>
            <w:tcW w:w="1223" w:type="dxa"/>
          </w:tcPr>
          <w:p w:rsidR="005858C8" w:rsidRPr="009B081E" w:rsidRDefault="005858C8" w:rsidP="00D73466">
            <w:pPr>
              <w:jc w:val="center"/>
            </w:pPr>
            <w:r w:rsidRPr="009B081E">
              <w:t>5.0</w:t>
            </w:r>
          </w:p>
        </w:tc>
        <w:tc>
          <w:tcPr>
            <w:tcW w:w="1223" w:type="dxa"/>
          </w:tcPr>
          <w:p w:rsidR="005858C8" w:rsidRPr="009B081E" w:rsidRDefault="005858C8" w:rsidP="00D73466">
            <w:pPr>
              <w:jc w:val="center"/>
            </w:pPr>
            <w:r w:rsidRPr="009B081E">
              <w:t>5.2</w:t>
            </w:r>
          </w:p>
        </w:tc>
        <w:tc>
          <w:tcPr>
            <w:tcW w:w="1223" w:type="dxa"/>
          </w:tcPr>
          <w:p w:rsidR="005858C8" w:rsidRPr="009B081E" w:rsidRDefault="005858C8" w:rsidP="00D73466">
            <w:pPr>
              <w:jc w:val="center"/>
            </w:pPr>
            <w:r w:rsidRPr="009B081E">
              <w:t>8.8</w:t>
            </w:r>
          </w:p>
        </w:tc>
        <w:tc>
          <w:tcPr>
            <w:tcW w:w="1223" w:type="dxa"/>
          </w:tcPr>
          <w:p w:rsidR="005858C8" w:rsidRDefault="005858C8" w:rsidP="00D73466">
            <w:pPr>
              <w:jc w:val="center"/>
            </w:pPr>
            <w:r w:rsidRPr="009B081E">
              <w:t>11.2</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Real monthly wage, incl.</w:t>
            </w:r>
          </w:p>
        </w:tc>
        <w:tc>
          <w:tcPr>
            <w:tcW w:w="1223" w:type="dxa"/>
          </w:tcPr>
          <w:p w:rsidR="005858C8" w:rsidRPr="009D3011" w:rsidRDefault="005858C8" w:rsidP="00D73466">
            <w:pPr>
              <w:jc w:val="center"/>
            </w:pPr>
            <w:r w:rsidRPr="009D3011">
              <w:t>1.4</w:t>
            </w:r>
          </w:p>
        </w:tc>
        <w:tc>
          <w:tcPr>
            <w:tcW w:w="1223" w:type="dxa"/>
          </w:tcPr>
          <w:p w:rsidR="005858C8" w:rsidRPr="009D3011" w:rsidRDefault="005858C8" w:rsidP="00D73466">
            <w:pPr>
              <w:jc w:val="center"/>
            </w:pPr>
            <w:r w:rsidRPr="009D3011">
              <w:t>0.8</w:t>
            </w:r>
          </w:p>
        </w:tc>
        <w:tc>
          <w:tcPr>
            <w:tcW w:w="1223" w:type="dxa"/>
          </w:tcPr>
          <w:p w:rsidR="005858C8" w:rsidRPr="009D3011" w:rsidRDefault="005858C8" w:rsidP="00D73466">
            <w:pPr>
              <w:jc w:val="center"/>
            </w:pPr>
            <w:r w:rsidRPr="009D3011">
              <w:t>1.6</w:t>
            </w:r>
          </w:p>
        </w:tc>
        <w:tc>
          <w:tcPr>
            <w:tcW w:w="1223" w:type="dxa"/>
          </w:tcPr>
          <w:p w:rsidR="005858C8" w:rsidRPr="009D3011" w:rsidRDefault="005858C8" w:rsidP="00D73466">
            <w:pPr>
              <w:jc w:val="center"/>
            </w:pPr>
            <w:r w:rsidRPr="009D3011">
              <w:t>3.3</w:t>
            </w:r>
          </w:p>
        </w:tc>
        <w:tc>
          <w:tcPr>
            <w:tcW w:w="1223" w:type="dxa"/>
          </w:tcPr>
          <w:p w:rsidR="005858C8" w:rsidRPr="009D3011" w:rsidRDefault="005858C8" w:rsidP="00D73466">
            <w:pPr>
              <w:jc w:val="center"/>
            </w:pPr>
            <w:r w:rsidRPr="009D3011">
              <w:t>3.3</w:t>
            </w:r>
          </w:p>
        </w:tc>
        <w:tc>
          <w:tcPr>
            <w:tcW w:w="1223" w:type="dxa"/>
          </w:tcPr>
          <w:p w:rsidR="005858C8" w:rsidRPr="009D3011" w:rsidRDefault="005858C8" w:rsidP="00D73466">
            <w:pPr>
              <w:jc w:val="center"/>
            </w:pPr>
            <w:r w:rsidRPr="009D3011">
              <w:t>3.9</w:t>
            </w:r>
          </w:p>
        </w:tc>
        <w:tc>
          <w:tcPr>
            <w:tcW w:w="1223" w:type="dxa"/>
          </w:tcPr>
          <w:p w:rsidR="005858C8" w:rsidRPr="009D3011" w:rsidRDefault="005858C8" w:rsidP="00D73466">
            <w:pPr>
              <w:jc w:val="center"/>
            </w:pPr>
            <w:r w:rsidRPr="009D3011">
              <w:t>4.0</w:t>
            </w:r>
          </w:p>
        </w:tc>
        <w:tc>
          <w:tcPr>
            <w:tcW w:w="1223" w:type="dxa"/>
          </w:tcPr>
          <w:p w:rsidR="005858C8" w:rsidRPr="009D3011" w:rsidRDefault="005858C8" w:rsidP="00D73466">
            <w:pPr>
              <w:jc w:val="center"/>
            </w:pPr>
            <w:r w:rsidRPr="009D3011">
              <w:t>7.4</w:t>
            </w:r>
          </w:p>
        </w:tc>
        <w:tc>
          <w:tcPr>
            <w:tcW w:w="1223" w:type="dxa"/>
          </w:tcPr>
          <w:p w:rsidR="005858C8" w:rsidRPr="009D3011" w:rsidRDefault="005858C8" w:rsidP="00D73466">
            <w:pPr>
              <w:jc w:val="center"/>
            </w:pPr>
            <w:r w:rsidRPr="009D3011">
              <w:t>9.6</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In agriculture</w:t>
            </w:r>
          </w:p>
        </w:tc>
        <w:tc>
          <w:tcPr>
            <w:tcW w:w="1223" w:type="dxa"/>
          </w:tcPr>
          <w:p w:rsidR="005858C8" w:rsidRPr="009D3011" w:rsidRDefault="005858C8" w:rsidP="00D73466">
            <w:pPr>
              <w:jc w:val="center"/>
            </w:pPr>
            <w:r w:rsidRPr="009D3011">
              <w:t>0.3</w:t>
            </w:r>
          </w:p>
        </w:tc>
        <w:tc>
          <w:tcPr>
            <w:tcW w:w="1223" w:type="dxa"/>
          </w:tcPr>
          <w:p w:rsidR="005858C8" w:rsidRPr="009D3011" w:rsidRDefault="005858C8" w:rsidP="00D73466">
            <w:pPr>
              <w:jc w:val="center"/>
            </w:pPr>
            <w:r w:rsidRPr="009D3011">
              <w:t>1.0</w:t>
            </w:r>
          </w:p>
        </w:tc>
        <w:tc>
          <w:tcPr>
            <w:tcW w:w="1223" w:type="dxa"/>
          </w:tcPr>
          <w:p w:rsidR="005858C8" w:rsidRPr="009D3011" w:rsidRDefault="005858C8" w:rsidP="00D73466">
            <w:pPr>
              <w:jc w:val="center"/>
            </w:pPr>
            <w:r w:rsidRPr="009D3011">
              <w:t>1.6</w:t>
            </w:r>
          </w:p>
        </w:tc>
        <w:tc>
          <w:tcPr>
            <w:tcW w:w="1223" w:type="dxa"/>
          </w:tcPr>
          <w:p w:rsidR="005858C8" w:rsidRPr="009D3011" w:rsidRDefault="005858C8" w:rsidP="00D73466">
            <w:pPr>
              <w:jc w:val="center"/>
            </w:pPr>
            <w:r w:rsidRPr="009D3011">
              <w:t>3.6</w:t>
            </w:r>
          </w:p>
        </w:tc>
        <w:tc>
          <w:tcPr>
            <w:tcW w:w="1223" w:type="dxa"/>
          </w:tcPr>
          <w:p w:rsidR="005858C8" w:rsidRPr="009D3011" w:rsidRDefault="005858C8" w:rsidP="00D73466">
            <w:pPr>
              <w:jc w:val="center"/>
            </w:pPr>
            <w:r w:rsidRPr="009D3011">
              <w:t>7.5</w:t>
            </w:r>
          </w:p>
        </w:tc>
        <w:tc>
          <w:tcPr>
            <w:tcW w:w="1223" w:type="dxa"/>
          </w:tcPr>
          <w:p w:rsidR="005858C8" w:rsidRPr="009D3011" w:rsidRDefault="005858C8" w:rsidP="00D73466">
            <w:pPr>
              <w:jc w:val="center"/>
            </w:pPr>
            <w:r w:rsidRPr="009D3011">
              <w:t>7.1</w:t>
            </w:r>
          </w:p>
        </w:tc>
        <w:tc>
          <w:tcPr>
            <w:tcW w:w="1223" w:type="dxa"/>
          </w:tcPr>
          <w:p w:rsidR="005858C8" w:rsidRPr="009D3011" w:rsidRDefault="005858C8" w:rsidP="00D73466">
            <w:pPr>
              <w:jc w:val="center"/>
            </w:pPr>
            <w:r w:rsidRPr="009D3011">
              <w:t>7.0</w:t>
            </w:r>
          </w:p>
        </w:tc>
        <w:tc>
          <w:tcPr>
            <w:tcW w:w="1223" w:type="dxa"/>
          </w:tcPr>
          <w:p w:rsidR="005858C8" w:rsidRPr="009D3011" w:rsidRDefault="005858C8" w:rsidP="00D73466">
            <w:pPr>
              <w:jc w:val="center"/>
            </w:pPr>
            <w:r w:rsidRPr="009D3011">
              <w:t>8.6</w:t>
            </w:r>
          </w:p>
        </w:tc>
        <w:tc>
          <w:tcPr>
            <w:tcW w:w="1223" w:type="dxa"/>
          </w:tcPr>
          <w:p w:rsidR="005858C8" w:rsidRDefault="005858C8" w:rsidP="00D73466">
            <w:pPr>
              <w:jc w:val="center"/>
            </w:pPr>
            <w:r w:rsidRPr="009D3011">
              <w:t>10.2</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In industry</w:t>
            </w:r>
          </w:p>
        </w:tc>
        <w:tc>
          <w:tcPr>
            <w:tcW w:w="1223" w:type="dxa"/>
          </w:tcPr>
          <w:p w:rsidR="005858C8" w:rsidRPr="00945625" w:rsidRDefault="005858C8" w:rsidP="00D73466">
            <w:pPr>
              <w:jc w:val="center"/>
            </w:pPr>
            <w:r w:rsidRPr="00945625">
              <w:t>0.2</w:t>
            </w:r>
          </w:p>
        </w:tc>
        <w:tc>
          <w:tcPr>
            <w:tcW w:w="1223" w:type="dxa"/>
          </w:tcPr>
          <w:p w:rsidR="005858C8" w:rsidRPr="00945625" w:rsidRDefault="005858C8" w:rsidP="00D73466">
            <w:pPr>
              <w:jc w:val="center"/>
            </w:pPr>
            <w:r w:rsidRPr="00945625">
              <w:t>0.7</w:t>
            </w:r>
          </w:p>
        </w:tc>
        <w:tc>
          <w:tcPr>
            <w:tcW w:w="1223" w:type="dxa"/>
          </w:tcPr>
          <w:p w:rsidR="005858C8" w:rsidRPr="00945625" w:rsidRDefault="005858C8" w:rsidP="00D73466">
            <w:pPr>
              <w:jc w:val="center"/>
            </w:pPr>
            <w:r w:rsidRPr="00945625">
              <w:t>1.4</w:t>
            </w:r>
          </w:p>
        </w:tc>
        <w:tc>
          <w:tcPr>
            <w:tcW w:w="1223" w:type="dxa"/>
          </w:tcPr>
          <w:p w:rsidR="005858C8" w:rsidRPr="00945625" w:rsidRDefault="005858C8" w:rsidP="00D73466">
            <w:pPr>
              <w:jc w:val="center"/>
            </w:pPr>
            <w:r w:rsidRPr="00945625">
              <w:t>2.3</w:t>
            </w:r>
          </w:p>
        </w:tc>
        <w:tc>
          <w:tcPr>
            <w:tcW w:w="1223" w:type="dxa"/>
          </w:tcPr>
          <w:p w:rsidR="005858C8" w:rsidRPr="00945625" w:rsidRDefault="005858C8" w:rsidP="00D73466">
            <w:pPr>
              <w:jc w:val="center"/>
            </w:pPr>
            <w:r w:rsidRPr="00945625">
              <w:t>4.1</w:t>
            </w:r>
          </w:p>
        </w:tc>
        <w:tc>
          <w:tcPr>
            <w:tcW w:w="1223" w:type="dxa"/>
          </w:tcPr>
          <w:p w:rsidR="005858C8" w:rsidRPr="00945625" w:rsidRDefault="005858C8" w:rsidP="00D73466">
            <w:pPr>
              <w:jc w:val="center"/>
            </w:pPr>
            <w:r w:rsidRPr="00945625">
              <w:t>5.5</w:t>
            </w:r>
          </w:p>
        </w:tc>
        <w:tc>
          <w:tcPr>
            <w:tcW w:w="1223" w:type="dxa"/>
          </w:tcPr>
          <w:p w:rsidR="005858C8" w:rsidRPr="00945625" w:rsidRDefault="005858C8" w:rsidP="00D73466">
            <w:pPr>
              <w:jc w:val="center"/>
            </w:pPr>
            <w:r w:rsidRPr="00945625">
              <w:t>6.9</w:t>
            </w:r>
          </w:p>
        </w:tc>
        <w:tc>
          <w:tcPr>
            <w:tcW w:w="1223" w:type="dxa"/>
          </w:tcPr>
          <w:p w:rsidR="005858C8" w:rsidRPr="00945625" w:rsidRDefault="005858C8" w:rsidP="00D73466">
            <w:pPr>
              <w:jc w:val="center"/>
            </w:pPr>
            <w:r w:rsidRPr="00945625">
              <w:t>6.5</w:t>
            </w:r>
          </w:p>
        </w:tc>
        <w:tc>
          <w:tcPr>
            <w:tcW w:w="1223" w:type="dxa"/>
          </w:tcPr>
          <w:p w:rsidR="005858C8" w:rsidRDefault="005858C8" w:rsidP="00D73466">
            <w:pPr>
              <w:jc w:val="center"/>
            </w:pPr>
            <w:r w:rsidRPr="00945625">
              <w:t>6.7</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In construction</w:t>
            </w:r>
          </w:p>
        </w:tc>
        <w:tc>
          <w:tcPr>
            <w:tcW w:w="1223" w:type="dxa"/>
          </w:tcPr>
          <w:p w:rsidR="005858C8" w:rsidRPr="003331C6" w:rsidRDefault="005858C8" w:rsidP="00D73466">
            <w:pPr>
              <w:jc w:val="center"/>
            </w:pPr>
            <w:r w:rsidRPr="003331C6">
              <w:t>0.3</w:t>
            </w:r>
          </w:p>
        </w:tc>
        <w:tc>
          <w:tcPr>
            <w:tcW w:w="1223" w:type="dxa"/>
          </w:tcPr>
          <w:p w:rsidR="005858C8" w:rsidRPr="003331C6" w:rsidRDefault="005858C8" w:rsidP="00D73466">
            <w:pPr>
              <w:jc w:val="center"/>
            </w:pPr>
            <w:r w:rsidRPr="003331C6">
              <w:t>0.9</w:t>
            </w:r>
          </w:p>
        </w:tc>
        <w:tc>
          <w:tcPr>
            <w:tcW w:w="1223" w:type="dxa"/>
          </w:tcPr>
          <w:p w:rsidR="005858C8" w:rsidRPr="003331C6" w:rsidRDefault="005858C8" w:rsidP="00D73466">
            <w:pPr>
              <w:jc w:val="center"/>
            </w:pPr>
            <w:r w:rsidRPr="003331C6">
              <w:t>1.4</w:t>
            </w:r>
          </w:p>
        </w:tc>
        <w:tc>
          <w:tcPr>
            <w:tcW w:w="1223" w:type="dxa"/>
          </w:tcPr>
          <w:p w:rsidR="005858C8" w:rsidRPr="003331C6" w:rsidRDefault="005858C8" w:rsidP="00D73466">
            <w:pPr>
              <w:jc w:val="center"/>
            </w:pPr>
            <w:r w:rsidRPr="003331C6">
              <w:t>1.5</w:t>
            </w:r>
          </w:p>
        </w:tc>
        <w:tc>
          <w:tcPr>
            <w:tcW w:w="1223" w:type="dxa"/>
          </w:tcPr>
          <w:p w:rsidR="005858C8" w:rsidRPr="003331C6" w:rsidRDefault="005858C8" w:rsidP="00D73466">
            <w:pPr>
              <w:jc w:val="center"/>
            </w:pPr>
            <w:r w:rsidRPr="003331C6">
              <w:t>3.6</w:t>
            </w:r>
          </w:p>
        </w:tc>
        <w:tc>
          <w:tcPr>
            <w:tcW w:w="1223" w:type="dxa"/>
          </w:tcPr>
          <w:p w:rsidR="005858C8" w:rsidRPr="003331C6" w:rsidRDefault="005858C8" w:rsidP="00D73466">
            <w:pPr>
              <w:jc w:val="center"/>
            </w:pPr>
            <w:r w:rsidRPr="003331C6">
              <w:t>4.2</w:t>
            </w:r>
          </w:p>
        </w:tc>
        <w:tc>
          <w:tcPr>
            <w:tcW w:w="1223" w:type="dxa"/>
          </w:tcPr>
          <w:p w:rsidR="005858C8" w:rsidRPr="003331C6" w:rsidRDefault="005858C8" w:rsidP="00D73466">
            <w:pPr>
              <w:jc w:val="center"/>
            </w:pPr>
            <w:r w:rsidRPr="003331C6">
              <w:t>5.0</w:t>
            </w:r>
          </w:p>
        </w:tc>
        <w:tc>
          <w:tcPr>
            <w:tcW w:w="1223" w:type="dxa"/>
          </w:tcPr>
          <w:p w:rsidR="005858C8" w:rsidRPr="003331C6" w:rsidRDefault="005858C8" w:rsidP="00D73466">
            <w:pPr>
              <w:jc w:val="center"/>
            </w:pPr>
            <w:r w:rsidRPr="003331C6">
              <w:t>5.0</w:t>
            </w:r>
          </w:p>
        </w:tc>
        <w:tc>
          <w:tcPr>
            <w:tcW w:w="1223" w:type="dxa"/>
          </w:tcPr>
          <w:p w:rsidR="005858C8" w:rsidRDefault="005858C8" w:rsidP="00D73466">
            <w:pPr>
              <w:jc w:val="center"/>
            </w:pPr>
            <w:r w:rsidRPr="003331C6">
              <w:t>4.7</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lastRenderedPageBreak/>
              <w:t>In private services</w:t>
            </w:r>
          </w:p>
        </w:tc>
        <w:tc>
          <w:tcPr>
            <w:tcW w:w="1223" w:type="dxa"/>
          </w:tcPr>
          <w:p w:rsidR="005858C8" w:rsidRPr="002D36C4" w:rsidRDefault="005858C8" w:rsidP="00D73466">
            <w:pPr>
              <w:jc w:val="center"/>
            </w:pPr>
            <w:r w:rsidRPr="002D36C4">
              <w:t>0.3</w:t>
            </w:r>
          </w:p>
        </w:tc>
        <w:tc>
          <w:tcPr>
            <w:tcW w:w="1223" w:type="dxa"/>
          </w:tcPr>
          <w:p w:rsidR="005858C8" w:rsidRPr="002D36C4" w:rsidRDefault="005858C8" w:rsidP="00D73466">
            <w:pPr>
              <w:jc w:val="center"/>
            </w:pPr>
            <w:r w:rsidRPr="002D36C4">
              <w:t>0.9</w:t>
            </w:r>
          </w:p>
        </w:tc>
        <w:tc>
          <w:tcPr>
            <w:tcW w:w="1223" w:type="dxa"/>
          </w:tcPr>
          <w:p w:rsidR="005858C8" w:rsidRPr="002D36C4" w:rsidRDefault="005858C8" w:rsidP="00D73466">
            <w:pPr>
              <w:jc w:val="center"/>
            </w:pPr>
            <w:r w:rsidRPr="002D36C4">
              <w:t>1.4</w:t>
            </w:r>
          </w:p>
        </w:tc>
        <w:tc>
          <w:tcPr>
            <w:tcW w:w="1223" w:type="dxa"/>
          </w:tcPr>
          <w:p w:rsidR="005858C8" w:rsidRPr="002D36C4" w:rsidRDefault="005858C8" w:rsidP="00D73466">
            <w:pPr>
              <w:jc w:val="center"/>
            </w:pPr>
            <w:r w:rsidRPr="002D36C4">
              <w:t>1.9</w:t>
            </w:r>
          </w:p>
        </w:tc>
        <w:tc>
          <w:tcPr>
            <w:tcW w:w="1223" w:type="dxa"/>
          </w:tcPr>
          <w:p w:rsidR="005858C8" w:rsidRPr="002D36C4" w:rsidRDefault="005858C8" w:rsidP="00D73466">
            <w:pPr>
              <w:jc w:val="center"/>
            </w:pPr>
            <w:r w:rsidRPr="002D36C4">
              <w:t>2.6</w:t>
            </w:r>
          </w:p>
        </w:tc>
        <w:tc>
          <w:tcPr>
            <w:tcW w:w="1223" w:type="dxa"/>
          </w:tcPr>
          <w:p w:rsidR="005858C8" w:rsidRPr="002D36C4" w:rsidRDefault="005858C8" w:rsidP="00D73466">
            <w:pPr>
              <w:jc w:val="center"/>
            </w:pPr>
            <w:r w:rsidRPr="002D36C4">
              <w:t>3.6</w:t>
            </w:r>
          </w:p>
        </w:tc>
        <w:tc>
          <w:tcPr>
            <w:tcW w:w="1223" w:type="dxa"/>
          </w:tcPr>
          <w:p w:rsidR="005858C8" w:rsidRPr="002D36C4" w:rsidRDefault="005858C8" w:rsidP="00D73466">
            <w:pPr>
              <w:jc w:val="center"/>
            </w:pPr>
            <w:r w:rsidRPr="002D36C4">
              <w:t>4.0</w:t>
            </w:r>
          </w:p>
        </w:tc>
        <w:tc>
          <w:tcPr>
            <w:tcW w:w="1223" w:type="dxa"/>
          </w:tcPr>
          <w:p w:rsidR="005858C8" w:rsidRPr="002D36C4" w:rsidRDefault="005858C8" w:rsidP="00D73466">
            <w:pPr>
              <w:jc w:val="center"/>
            </w:pPr>
            <w:r w:rsidRPr="002D36C4">
              <w:t>4.2</w:t>
            </w:r>
          </w:p>
        </w:tc>
        <w:tc>
          <w:tcPr>
            <w:tcW w:w="1223" w:type="dxa"/>
          </w:tcPr>
          <w:p w:rsidR="005858C8" w:rsidRDefault="005858C8" w:rsidP="00D73466">
            <w:pPr>
              <w:jc w:val="center"/>
            </w:pPr>
            <w:r w:rsidRPr="002D36C4">
              <w:t>4.6</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In public services</w:t>
            </w:r>
          </w:p>
        </w:tc>
        <w:tc>
          <w:tcPr>
            <w:tcW w:w="1223" w:type="dxa"/>
          </w:tcPr>
          <w:p w:rsidR="005858C8" w:rsidRPr="00F87957" w:rsidRDefault="005858C8" w:rsidP="00D73466">
            <w:pPr>
              <w:jc w:val="center"/>
            </w:pPr>
            <w:r w:rsidRPr="00F87957">
              <w:t>0.1</w:t>
            </w:r>
          </w:p>
        </w:tc>
        <w:tc>
          <w:tcPr>
            <w:tcW w:w="1223" w:type="dxa"/>
          </w:tcPr>
          <w:p w:rsidR="005858C8" w:rsidRPr="00F87957" w:rsidRDefault="005858C8" w:rsidP="00D73466">
            <w:pPr>
              <w:jc w:val="center"/>
            </w:pPr>
            <w:r w:rsidRPr="00F87957">
              <w:t>0.5</w:t>
            </w:r>
          </w:p>
        </w:tc>
        <w:tc>
          <w:tcPr>
            <w:tcW w:w="1223" w:type="dxa"/>
          </w:tcPr>
          <w:p w:rsidR="005858C8" w:rsidRPr="00F87957" w:rsidRDefault="005858C8" w:rsidP="00D73466">
            <w:pPr>
              <w:jc w:val="center"/>
            </w:pPr>
            <w:r w:rsidRPr="00F87957">
              <w:t>0.9</w:t>
            </w:r>
          </w:p>
        </w:tc>
        <w:tc>
          <w:tcPr>
            <w:tcW w:w="1223" w:type="dxa"/>
          </w:tcPr>
          <w:p w:rsidR="005858C8" w:rsidRPr="00F87957" w:rsidRDefault="005858C8" w:rsidP="00D73466">
            <w:pPr>
              <w:jc w:val="center"/>
            </w:pPr>
            <w:r w:rsidRPr="00F87957">
              <w:t>1.4</w:t>
            </w:r>
          </w:p>
        </w:tc>
        <w:tc>
          <w:tcPr>
            <w:tcW w:w="1223" w:type="dxa"/>
          </w:tcPr>
          <w:p w:rsidR="005858C8" w:rsidRPr="00F87957" w:rsidRDefault="005858C8" w:rsidP="00D73466">
            <w:pPr>
              <w:jc w:val="center"/>
            </w:pPr>
            <w:r w:rsidRPr="00F87957">
              <w:t>1.9</w:t>
            </w:r>
          </w:p>
        </w:tc>
        <w:tc>
          <w:tcPr>
            <w:tcW w:w="1223" w:type="dxa"/>
          </w:tcPr>
          <w:p w:rsidR="005858C8" w:rsidRPr="00F87957" w:rsidRDefault="005858C8" w:rsidP="00D73466">
            <w:pPr>
              <w:jc w:val="center"/>
            </w:pPr>
            <w:r w:rsidRPr="00F87957">
              <w:t>2.6</w:t>
            </w:r>
          </w:p>
        </w:tc>
        <w:tc>
          <w:tcPr>
            <w:tcW w:w="1223" w:type="dxa"/>
          </w:tcPr>
          <w:p w:rsidR="005858C8" w:rsidRPr="00F87957" w:rsidRDefault="005858C8" w:rsidP="00D73466">
            <w:pPr>
              <w:jc w:val="center"/>
            </w:pPr>
            <w:r w:rsidRPr="00F87957">
              <w:t>3.4</w:t>
            </w:r>
          </w:p>
        </w:tc>
        <w:tc>
          <w:tcPr>
            <w:tcW w:w="1223" w:type="dxa"/>
          </w:tcPr>
          <w:p w:rsidR="005858C8" w:rsidRPr="00F87957" w:rsidRDefault="005858C8" w:rsidP="00D73466">
            <w:pPr>
              <w:jc w:val="center"/>
            </w:pPr>
            <w:r w:rsidRPr="00F87957">
              <w:t>3.8</w:t>
            </w:r>
          </w:p>
        </w:tc>
        <w:tc>
          <w:tcPr>
            <w:tcW w:w="1223" w:type="dxa"/>
          </w:tcPr>
          <w:p w:rsidR="005858C8" w:rsidRDefault="005858C8" w:rsidP="00D73466">
            <w:pPr>
              <w:jc w:val="center"/>
            </w:pPr>
            <w:r w:rsidRPr="00F87957">
              <w:t>4.0</w:t>
            </w:r>
          </w:p>
        </w:tc>
      </w:tr>
      <w:tr w:rsidR="005858C8" w:rsidRPr="00D31979" w:rsidTr="00D73466">
        <w:tc>
          <w:tcPr>
            <w:tcW w:w="3168" w:type="dxa"/>
          </w:tcPr>
          <w:p w:rsidR="005858C8" w:rsidRPr="00D31979" w:rsidRDefault="005858C8" w:rsidP="00D73466">
            <w:pPr>
              <w:jc w:val="left"/>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Labour productivity, incl.</w:t>
            </w:r>
          </w:p>
        </w:tc>
        <w:tc>
          <w:tcPr>
            <w:tcW w:w="1223" w:type="dxa"/>
          </w:tcPr>
          <w:p w:rsidR="005858C8" w:rsidRPr="004B25B0" w:rsidRDefault="005858C8" w:rsidP="00D73466">
            <w:pPr>
              <w:jc w:val="center"/>
            </w:pPr>
            <w:r w:rsidRPr="004B25B0">
              <w:t>0.5</w:t>
            </w:r>
          </w:p>
        </w:tc>
        <w:tc>
          <w:tcPr>
            <w:tcW w:w="1223" w:type="dxa"/>
          </w:tcPr>
          <w:p w:rsidR="005858C8" w:rsidRPr="004B25B0" w:rsidRDefault="005858C8" w:rsidP="00D73466">
            <w:pPr>
              <w:jc w:val="center"/>
            </w:pPr>
            <w:r w:rsidRPr="004B25B0">
              <w:t>0.9</w:t>
            </w:r>
          </w:p>
        </w:tc>
        <w:tc>
          <w:tcPr>
            <w:tcW w:w="1223" w:type="dxa"/>
          </w:tcPr>
          <w:p w:rsidR="005858C8" w:rsidRPr="004B25B0" w:rsidRDefault="005858C8" w:rsidP="00D73466">
            <w:pPr>
              <w:jc w:val="center"/>
            </w:pPr>
            <w:r w:rsidRPr="004B25B0">
              <w:t>1.3</w:t>
            </w:r>
          </w:p>
        </w:tc>
        <w:tc>
          <w:tcPr>
            <w:tcW w:w="1223" w:type="dxa"/>
          </w:tcPr>
          <w:p w:rsidR="005858C8" w:rsidRPr="004B25B0" w:rsidRDefault="005858C8" w:rsidP="00D73466">
            <w:pPr>
              <w:jc w:val="center"/>
            </w:pPr>
            <w:r w:rsidRPr="004B25B0">
              <w:t>2.2</w:t>
            </w:r>
          </w:p>
        </w:tc>
        <w:tc>
          <w:tcPr>
            <w:tcW w:w="1223" w:type="dxa"/>
          </w:tcPr>
          <w:p w:rsidR="005858C8" w:rsidRPr="004B25B0" w:rsidRDefault="005858C8" w:rsidP="00D73466">
            <w:pPr>
              <w:jc w:val="center"/>
            </w:pPr>
            <w:r w:rsidRPr="004B25B0">
              <w:t>3.2</w:t>
            </w:r>
          </w:p>
        </w:tc>
        <w:tc>
          <w:tcPr>
            <w:tcW w:w="1223" w:type="dxa"/>
          </w:tcPr>
          <w:p w:rsidR="005858C8" w:rsidRPr="004B25B0" w:rsidRDefault="005858C8" w:rsidP="00D73466">
            <w:pPr>
              <w:jc w:val="center"/>
            </w:pPr>
            <w:r w:rsidRPr="004B25B0">
              <w:t>3.7</w:t>
            </w:r>
          </w:p>
        </w:tc>
        <w:tc>
          <w:tcPr>
            <w:tcW w:w="1223" w:type="dxa"/>
          </w:tcPr>
          <w:p w:rsidR="005858C8" w:rsidRPr="004B25B0" w:rsidRDefault="005858C8" w:rsidP="00D73466">
            <w:pPr>
              <w:jc w:val="center"/>
            </w:pPr>
            <w:r w:rsidRPr="004B25B0">
              <w:t>3.9</w:t>
            </w:r>
          </w:p>
        </w:tc>
        <w:tc>
          <w:tcPr>
            <w:tcW w:w="1223" w:type="dxa"/>
          </w:tcPr>
          <w:p w:rsidR="005858C8" w:rsidRPr="004B25B0" w:rsidRDefault="005858C8" w:rsidP="00D73466">
            <w:pPr>
              <w:jc w:val="center"/>
            </w:pPr>
            <w:r w:rsidRPr="004B25B0">
              <w:t>4.0</w:t>
            </w:r>
          </w:p>
        </w:tc>
        <w:tc>
          <w:tcPr>
            <w:tcW w:w="1223" w:type="dxa"/>
          </w:tcPr>
          <w:p w:rsidR="005858C8" w:rsidRDefault="005858C8" w:rsidP="00D73466">
            <w:pPr>
              <w:jc w:val="center"/>
            </w:pPr>
            <w:r w:rsidRPr="004B25B0">
              <w:t>5.2</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In agriculture</w:t>
            </w:r>
          </w:p>
        </w:tc>
        <w:tc>
          <w:tcPr>
            <w:tcW w:w="1223" w:type="dxa"/>
          </w:tcPr>
          <w:p w:rsidR="005858C8" w:rsidRPr="008020B3" w:rsidRDefault="005858C8" w:rsidP="00D73466">
            <w:pPr>
              <w:jc w:val="center"/>
            </w:pPr>
            <w:r w:rsidRPr="008020B3">
              <w:t>0.4</w:t>
            </w:r>
          </w:p>
        </w:tc>
        <w:tc>
          <w:tcPr>
            <w:tcW w:w="1223" w:type="dxa"/>
          </w:tcPr>
          <w:p w:rsidR="005858C8" w:rsidRPr="008020B3" w:rsidRDefault="005858C8" w:rsidP="00D73466">
            <w:pPr>
              <w:jc w:val="center"/>
            </w:pPr>
            <w:r w:rsidRPr="008020B3">
              <w:t>0.7</w:t>
            </w:r>
          </w:p>
        </w:tc>
        <w:tc>
          <w:tcPr>
            <w:tcW w:w="1223" w:type="dxa"/>
          </w:tcPr>
          <w:p w:rsidR="005858C8" w:rsidRPr="008020B3" w:rsidRDefault="005858C8" w:rsidP="00D73466">
            <w:pPr>
              <w:jc w:val="center"/>
            </w:pPr>
            <w:r w:rsidRPr="008020B3">
              <w:t>0.8</w:t>
            </w:r>
          </w:p>
        </w:tc>
        <w:tc>
          <w:tcPr>
            <w:tcW w:w="1223" w:type="dxa"/>
          </w:tcPr>
          <w:p w:rsidR="005858C8" w:rsidRPr="008020B3" w:rsidRDefault="005858C8" w:rsidP="00D73466">
            <w:pPr>
              <w:jc w:val="center"/>
            </w:pPr>
            <w:r w:rsidRPr="008020B3">
              <w:t>3.6</w:t>
            </w:r>
          </w:p>
        </w:tc>
        <w:tc>
          <w:tcPr>
            <w:tcW w:w="1223" w:type="dxa"/>
          </w:tcPr>
          <w:p w:rsidR="005858C8" w:rsidRPr="008020B3" w:rsidRDefault="005858C8" w:rsidP="00D73466">
            <w:pPr>
              <w:jc w:val="center"/>
            </w:pPr>
            <w:r w:rsidRPr="008020B3">
              <w:t>6.3</w:t>
            </w:r>
          </w:p>
        </w:tc>
        <w:tc>
          <w:tcPr>
            <w:tcW w:w="1223" w:type="dxa"/>
          </w:tcPr>
          <w:p w:rsidR="005858C8" w:rsidRPr="008020B3" w:rsidRDefault="005858C8" w:rsidP="00D73466">
            <w:pPr>
              <w:jc w:val="center"/>
            </w:pPr>
            <w:r w:rsidRPr="008020B3">
              <w:t>3.1</w:t>
            </w:r>
          </w:p>
        </w:tc>
        <w:tc>
          <w:tcPr>
            <w:tcW w:w="1223" w:type="dxa"/>
          </w:tcPr>
          <w:p w:rsidR="005858C8" w:rsidRPr="008020B3" w:rsidRDefault="005858C8" w:rsidP="00D73466">
            <w:pPr>
              <w:jc w:val="center"/>
            </w:pPr>
            <w:r w:rsidRPr="008020B3">
              <w:t>3.9</w:t>
            </w:r>
          </w:p>
        </w:tc>
        <w:tc>
          <w:tcPr>
            <w:tcW w:w="1223" w:type="dxa"/>
          </w:tcPr>
          <w:p w:rsidR="005858C8" w:rsidRPr="008020B3" w:rsidRDefault="005858C8" w:rsidP="00D73466">
            <w:pPr>
              <w:jc w:val="center"/>
            </w:pPr>
            <w:r w:rsidRPr="008020B3">
              <w:t>6.8</w:t>
            </w:r>
          </w:p>
        </w:tc>
        <w:tc>
          <w:tcPr>
            <w:tcW w:w="1223" w:type="dxa"/>
          </w:tcPr>
          <w:p w:rsidR="005858C8" w:rsidRPr="008020B3" w:rsidRDefault="005858C8" w:rsidP="00D73466">
            <w:pPr>
              <w:jc w:val="center"/>
            </w:pPr>
            <w:r w:rsidRPr="008020B3">
              <w:t>7.4</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In industry</w:t>
            </w:r>
          </w:p>
        </w:tc>
        <w:tc>
          <w:tcPr>
            <w:tcW w:w="1223" w:type="dxa"/>
          </w:tcPr>
          <w:p w:rsidR="005858C8" w:rsidRPr="008020B3" w:rsidRDefault="005858C8" w:rsidP="00D73466">
            <w:pPr>
              <w:jc w:val="center"/>
            </w:pPr>
            <w:r w:rsidRPr="008020B3">
              <w:t>0.7</w:t>
            </w:r>
          </w:p>
        </w:tc>
        <w:tc>
          <w:tcPr>
            <w:tcW w:w="1223" w:type="dxa"/>
          </w:tcPr>
          <w:p w:rsidR="005858C8" w:rsidRPr="008020B3" w:rsidRDefault="005858C8" w:rsidP="00D73466">
            <w:pPr>
              <w:jc w:val="center"/>
            </w:pPr>
            <w:r w:rsidRPr="008020B3">
              <w:t>1.1</w:t>
            </w:r>
          </w:p>
        </w:tc>
        <w:tc>
          <w:tcPr>
            <w:tcW w:w="1223" w:type="dxa"/>
          </w:tcPr>
          <w:p w:rsidR="005858C8" w:rsidRPr="008020B3" w:rsidRDefault="005858C8" w:rsidP="00D73466">
            <w:pPr>
              <w:jc w:val="center"/>
            </w:pPr>
            <w:r w:rsidRPr="008020B3">
              <w:t>1.4</w:t>
            </w:r>
          </w:p>
        </w:tc>
        <w:tc>
          <w:tcPr>
            <w:tcW w:w="1223" w:type="dxa"/>
          </w:tcPr>
          <w:p w:rsidR="005858C8" w:rsidRPr="008020B3" w:rsidRDefault="005858C8" w:rsidP="00D73466">
            <w:pPr>
              <w:jc w:val="center"/>
            </w:pPr>
            <w:r w:rsidRPr="008020B3">
              <w:t>3.3</w:t>
            </w:r>
          </w:p>
        </w:tc>
        <w:tc>
          <w:tcPr>
            <w:tcW w:w="1223" w:type="dxa"/>
          </w:tcPr>
          <w:p w:rsidR="005858C8" w:rsidRPr="008020B3" w:rsidRDefault="005858C8" w:rsidP="00D73466">
            <w:pPr>
              <w:jc w:val="center"/>
            </w:pPr>
            <w:r w:rsidRPr="008020B3">
              <w:t>4.1</w:t>
            </w:r>
          </w:p>
        </w:tc>
        <w:tc>
          <w:tcPr>
            <w:tcW w:w="1223" w:type="dxa"/>
          </w:tcPr>
          <w:p w:rsidR="005858C8" w:rsidRPr="008020B3" w:rsidRDefault="005858C8" w:rsidP="00D73466">
            <w:pPr>
              <w:jc w:val="center"/>
            </w:pPr>
            <w:r w:rsidRPr="008020B3">
              <w:t>5.2</w:t>
            </w:r>
          </w:p>
        </w:tc>
        <w:tc>
          <w:tcPr>
            <w:tcW w:w="1223" w:type="dxa"/>
          </w:tcPr>
          <w:p w:rsidR="005858C8" w:rsidRPr="008020B3" w:rsidRDefault="005858C8" w:rsidP="00D73466">
            <w:pPr>
              <w:jc w:val="center"/>
            </w:pPr>
            <w:r w:rsidRPr="008020B3">
              <w:t>4.1</w:t>
            </w:r>
          </w:p>
        </w:tc>
        <w:tc>
          <w:tcPr>
            <w:tcW w:w="1223" w:type="dxa"/>
          </w:tcPr>
          <w:p w:rsidR="005858C8" w:rsidRPr="008020B3" w:rsidRDefault="005858C8" w:rsidP="00D73466">
            <w:pPr>
              <w:jc w:val="center"/>
            </w:pPr>
            <w:r w:rsidRPr="008020B3">
              <w:t>3.5</w:t>
            </w:r>
          </w:p>
        </w:tc>
        <w:tc>
          <w:tcPr>
            <w:tcW w:w="1223" w:type="dxa"/>
          </w:tcPr>
          <w:p w:rsidR="005858C8" w:rsidRDefault="005858C8" w:rsidP="00D73466">
            <w:pPr>
              <w:jc w:val="center"/>
            </w:pPr>
            <w:r w:rsidRPr="008020B3">
              <w:t>6.0</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In construction</w:t>
            </w:r>
          </w:p>
        </w:tc>
        <w:tc>
          <w:tcPr>
            <w:tcW w:w="1223" w:type="dxa"/>
          </w:tcPr>
          <w:p w:rsidR="005858C8" w:rsidRPr="000B1103" w:rsidRDefault="005858C8" w:rsidP="00D73466">
            <w:pPr>
              <w:jc w:val="center"/>
            </w:pPr>
            <w:r w:rsidRPr="000B1103">
              <w:t>0.3</w:t>
            </w:r>
          </w:p>
        </w:tc>
        <w:tc>
          <w:tcPr>
            <w:tcW w:w="1223" w:type="dxa"/>
          </w:tcPr>
          <w:p w:rsidR="005858C8" w:rsidRPr="000B1103" w:rsidRDefault="005858C8" w:rsidP="00D73466">
            <w:pPr>
              <w:jc w:val="center"/>
            </w:pPr>
            <w:r w:rsidRPr="000B1103">
              <w:t>0.8</w:t>
            </w:r>
          </w:p>
        </w:tc>
        <w:tc>
          <w:tcPr>
            <w:tcW w:w="1223" w:type="dxa"/>
          </w:tcPr>
          <w:p w:rsidR="005858C8" w:rsidRPr="000B1103" w:rsidRDefault="005858C8" w:rsidP="00D73466">
            <w:pPr>
              <w:jc w:val="center"/>
            </w:pPr>
            <w:r w:rsidRPr="000B1103">
              <w:t>1.2</w:t>
            </w:r>
          </w:p>
        </w:tc>
        <w:tc>
          <w:tcPr>
            <w:tcW w:w="1223" w:type="dxa"/>
          </w:tcPr>
          <w:p w:rsidR="005858C8" w:rsidRPr="000B1103" w:rsidRDefault="005858C8" w:rsidP="00D73466">
            <w:pPr>
              <w:jc w:val="center"/>
            </w:pPr>
            <w:r w:rsidRPr="000B1103">
              <w:t>1.2</w:t>
            </w:r>
          </w:p>
        </w:tc>
        <w:tc>
          <w:tcPr>
            <w:tcW w:w="1223" w:type="dxa"/>
          </w:tcPr>
          <w:p w:rsidR="005858C8" w:rsidRPr="000B1103" w:rsidRDefault="005858C8" w:rsidP="00D73466">
            <w:pPr>
              <w:jc w:val="center"/>
            </w:pPr>
            <w:r w:rsidRPr="000B1103">
              <w:t>3.8</w:t>
            </w:r>
          </w:p>
        </w:tc>
        <w:tc>
          <w:tcPr>
            <w:tcW w:w="1223" w:type="dxa"/>
          </w:tcPr>
          <w:p w:rsidR="005858C8" w:rsidRPr="000B1103" w:rsidRDefault="005858C8" w:rsidP="00D73466">
            <w:pPr>
              <w:jc w:val="center"/>
            </w:pPr>
            <w:r w:rsidRPr="000B1103">
              <w:t>3.5</w:t>
            </w:r>
          </w:p>
        </w:tc>
        <w:tc>
          <w:tcPr>
            <w:tcW w:w="1223" w:type="dxa"/>
          </w:tcPr>
          <w:p w:rsidR="005858C8" w:rsidRPr="000B1103" w:rsidRDefault="005858C8" w:rsidP="00D73466">
            <w:pPr>
              <w:jc w:val="center"/>
            </w:pPr>
            <w:r w:rsidRPr="000B1103">
              <w:t>5.2</w:t>
            </w:r>
          </w:p>
        </w:tc>
        <w:tc>
          <w:tcPr>
            <w:tcW w:w="1223" w:type="dxa"/>
          </w:tcPr>
          <w:p w:rsidR="005858C8" w:rsidRPr="000B1103" w:rsidRDefault="005858C8" w:rsidP="00D73466">
            <w:pPr>
              <w:jc w:val="center"/>
            </w:pPr>
            <w:r w:rsidRPr="000B1103">
              <w:t>5.2</w:t>
            </w:r>
          </w:p>
        </w:tc>
        <w:tc>
          <w:tcPr>
            <w:tcW w:w="1223" w:type="dxa"/>
          </w:tcPr>
          <w:p w:rsidR="005858C8" w:rsidRDefault="005858C8" w:rsidP="00D73466">
            <w:pPr>
              <w:jc w:val="center"/>
            </w:pPr>
            <w:r w:rsidRPr="000B1103">
              <w:t>5.1</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In private services</w:t>
            </w:r>
          </w:p>
        </w:tc>
        <w:tc>
          <w:tcPr>
            <w:tcW w:w="1223" w:type="dxa"/>
          </w:tcPr>
          <w:p w:rsidR="005858C8" w:rsidRPr="00F14D59" w:rsidRDefault="005858C8" w:rsidP="00D73466">
            <w:pPr>
              <w:jc w:val="center"/>
            </w:pPr>
            <w:r w:rsidRPr="00F14D59">
              <w:t>0.5</w:t>
            </w:r>
          </w:p>
        </w:tc>
        <w:tc>
          <w:tcPr>
            <w:tcW w:w="1223" w:type="dxa"/>
          </w:tcPr>
          <w:p w:rsidR="005858C8" w:rsidRPr="00F14D59" w:rsidRDefault="005858C8" w:rsidP="00D73466">
            <w:pPr>
              <w:jc w:val="center"/>
            </w:pPr>
            <w:r w:rsidRPr="00F14D59">
              <w:t>1.0</w:t>
            </w:r>
          </w:p>
        </w:tc>
        <w:tc>
          <w:tcPr>
            <w:tcW w:w="1223" w:type="dxa"/>
          </w:tcPr>
          <w:p w:rsidR="005858C8" w:rsidRPr="00F14D59" w:rsidRDefault="005858C8" w:rsidP="00D73466">
            <w:pPr>
              <w:jc w:val="center"/>
            </w:pPr>
            <w:r w:rsidRPr="00F14D59">
              <w:t>1.4</w:t>
            </w:r>
          </w:p>
        </w:tc>
        <w:tc>
          <w:tcPr>
            <w:tcW w:w="1223" w:type="dxa"/>
          </w:tcPr>
          <w:p w:rsidR="005858C8" w:rsidRPr="00F14D59" w:rsidRDefault="005858C8" w:rsidP="00D73466">
            <w:pPr>
              <w:jc w:val="center"/>
            </w:pPr>
            <w:r w:rsidRPr="00F14D59">
              <w:t>2.0</w:t>
            </w:r>
          </w:p>
        </w:tc>
        <w:tc>
          <w:tcPr>
            <w:tcW w:w="1223" w:type="dxa"/>
          </w:tcPr>
          <w:p w:rsidR="005858C8" w:rsidRPr="00F14D59" w:rsidRDefault="005858C8" w:rsidP="00D73466">
            <w:pPr>
              <w:jc w:val="center"/>
            </w:pPr>
            <w:r w:rsidRPr="00F14D59">
              <w:t>2.9</w:t>
            </w:r>
          </w:p>
        </w:tc>
        <w:tc>
          <w:tcPr>
            <w:tcW w:w="1223" w:type="dxa"/>
          </w:tcPr>
          <w:p w:rsidR="005858C8" w:rsidRPr="00F14D59" w:rsidRDefault="005858C8" w:rsidP="00D73466">
            <w:pPr>
              <w:jc w:val="center"/>
            </w:pPr>
            <w:r w:rsidRPr="00F14D59">
              <w:t>3.6</w:t>
            </w:r>
          </w:p>
        </w:tc>
        <w:tc>
          <w:tcPr>
            <w:tcW w:w="1223" w:type="dxa"/>
          </w:tcPr>
          <w:p w:rsidR="005858C8" w:rsidRPr="00F14D59" w:rsidRDefault="005858C8" w:rsidP="00D73466">
            <w:pPr>
              <w:jc w:val="center"/>
            </w:pPr>
            <w:r w:rsidRPr="00F14D59">
              <w:t>4.0</w:t>
            </w:r>
          </w:p>
        </w:tc>
        <w:tc>
          <w:tcPr>
            <w:tcW w:w="1223" w:type="dxa"/>
          </w:tcPr>
          <w:p w:rsidR="005858C8" w:rsidRPr="00F14D59" w:rsidRDefault="005858C8" w:rsidP="00D73466">
            <w:pPr>
              <w:jc w:val="center"/>
            </w:pPr>
            <w:r w:rsidRPr="00F14D59">
              <w:t>4.2</w:t>
            </w:r>
          </w:p>
        </w:tc>
        <w:tc>
          <w:tcPr>
            <w:tcW w:w="1223" w:type="dxa"/>
          </w:tcPr>
          <w:p w:rsidR="005858C8" w:rsidRDefault="005858C8" w:rsidP="00D73466">
            <w:pPr>
              <w:jc w:val="center"/>
            </w:pPr>
            <w:r w:rsidRPr="00F14D59">
              <w:t>5.2</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In public services</w:t>
            </w:r>
          </w:p>
        </w:tc>
        <w:tc>
          <w:tcPr>
            <w:tcW w:w="1223" w:type="dxa"/>
          </w:tcPr>
          <w:p w:rsidR="005858C8" w:rsidRPr="00491156" w:rsidRDefault="005858C8" w:rsidP="00D73466">
            <w:pPr>
              <w:jc w:val="center"/>
            </w:pPr>
            <w:r w:rsidRPr="00491156">
              <w:t>0.1</w:t>
            </w:r>
          </w:p>
        </w:tc>
        <w:tc>
          <w:tcPr>
            <w:tcW w:w="1223" w:type="dxa"/>
          </w:tcPr>
          <w:p w:rsidR="005858C8" w:rsidRPr="00491156" w:rsidRDefault="005858C8" w:rsidP="00D73466">
            <w:pPr>
              <w:jc w:val="center"/>
            </w:pPr>
            <w:r w:rsidRPr="00491156">
              <w:t>0.2</w:t>
            </w:r>
          </w:p>
        </w:tc>
        <w:tc>
          <w:tcPr>
            <w:tcW w:w="1223" w:type="dxa"/>
          </w:tcPr>
          <w:p w:rsidR="005858C8" w:rsidRPr="00491156" w:rsidRDefault="005858C8" w:rsidP="00D73466">
            <w:pPr>
              <w:jc w:val="center"/>
            </w:pPr>
            <w:r w:rsidRPr="00491156">
              <w:t>0.4</w:t>
            </w:r>
          </w:p>
        </w:tc>
        <w:tc>
          <w:tcPr>
            <w:tcW w:w="1223" w:type="dxa"/>
          </w:tcPr>
          <w:p w:rsidR="005858C8" w:rsidRPr="00491156" w:rsidRDefault="005858C8" w:rsidP="00D73466">
            <w:pPr>
              <w:jc w:val="center"/>
            </w:pPr>
            <w:r w:rsidRPr="00491156">
              <w:t>0.5</w:t>
            </w:r>
          </w:p>
        </w:tc>
        <w:tc>
          <w:tcPr>
            <w:tcW w:w="1223" w:type="dxa"/>
          </w:tcPr>
          <w:p w:rsidR="005858C8" w:rsidRPr="00491156" w:rsidRDefault="005858C8" w:rsidP="00D73466">
            <w:pPr>
              <w:jc w:val="center"/>
            </w:pPr>
            <w:r w:rsidRPr="00491156">
              <w:t>0.7</w:t>
            </w:r>
          </w:p>
        </w:tc>
        <w:tc>
          <w:tcPr>
            <w:tcW w:w="1223" w:type="dxa"/>
          </w:tcPr>
          <w:p w:rsidR="005858C8" w:rsidRPr="00491156" w:rsidRDefault="005858C8" w:rsidP="00D73466">
            <w:pPr>
              <w:jc w:val="center"/>
            </w:pPr>
            <w:r w:rsidRPr="00491156">
              <w:t>1.0</w:t>
            </w:r>
          </w:p>
        </w:tc>
        <w:tc>
          <w:tcPr>
            <w:tcW w:w="1223" w:type="dxa"/>
          </w:tcPr>
          <w:p w:rsidR="005858C8" w:rsidRPr="00491156" w:rsidRDefault="005858C8" w:rsidP="00D73466">
            <w:pPr>
              <w:jc w:val="center"/>
            </w:pPr>
            <w:r w:rsidRPr="00491156">
              <w:t>1.2</w:t>
            </w:r>
          </w:p>
        </w:tc>
        <w:tc>
          <w:tcPr>
            <w:tcW w:w="1223" w:type="dxa"/>
          </w:tcPr>
          <w:p w:rsidR="005858C8" w:rsidRPr="00491156" w:rsidRDefault="005858C8" w:rsidP="00D73466">
            <w:pPr>
              <w:jc w:val="center"/>
            </w:pPr>
            <w:r w:rsidRPr="00491156">
              <w:t>1.1</w:t>
            </w:r>
          </w:p>
        </w:tc>
        <w:tc>
          <w:tcPr>
            <w:tcW w:w="1223" w:type="dxa"/>
          </w:tcPr>
          <w:p w:rsidR="005858C8" w:rsidRDefault="005858C8" w:rsidP="00D73466">
            <w:pPr>
              <w:jc w:val="center"/>
            </w:pPr>
            <w:r w:rsidRPr="00491156">
              <w:t>1.2</w:t>
            </w:r>
          </w:p>
        </w:tc>
      </w:tr>
      <w:tr w:rsidR="005858C8" w:rsidRPr="00D31979" w:rsidTr="00D73466">
        <w:tc>
          <w:tcPr>
            <w:tcW w:w="3168" w:type="dxa"/>
          </w:tcPr>
          <w:p w:rsidR="005858C8" w:rsidRPr="00D31979" w:rsidRDefault="005858C8" w:rsidP="00D73466">
            <w:pPr>
              <w:jc w:val="left"/>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Tax revenue of the government budget</w:t>
            </w:r>
          </w:p>
        </w:tc>
        <w:tc>
          <w:tcPr>
            <w:tcW w:w="1223" w:type="dxa"/>
          </w:tcPr>
          <w:p w:rsidR="005858C8" w:rsidRPr="00FC2FBE" w:rsidRDefault="005858C8" w:rsidP="00D73466">
            <w:pPr>
              <w:jc w:val="center"/>
            </w:pPr>
            <w:r w:rsidRPr="00FC2FBE">
              <w:t>0.9</w:t>
            </w:r>
          </w:p>
        </w:tc>
        <w:tc>
          <w:tcPr>
            <w:tcW w:w="1223" w:type="dxa"/>
          </w:tcPr>
          <w:p w:rsidR="005858C8" w:rsidRPr="00FC2FBE" w:rsidRDefault="005858C8" w:rsidP="00D73466">
            <w:pPr>
              <w:jc w:val="center"/>
            </w:pPr>
            <w:r w:rsidRPr="00FC2FBE">
              <w:t>1.1</w:t>
            </w:r>
          </w:p>
        </w:tc>
        <w:tc>
          <w:tcPr>
            <w:tcW w:w="1223" w:type="dxa"/>
          </w:tcPr>
          <w:p w:rsidR="005858C8" w:rsidRPr="00FC2FBE" w:rsidRDefault="005858C8" w:rsidP="00D73466">
            <w:pPr>
              <w:jc w:val="center"/>
            </w:pPr>
            <w:r w:rsidRPr="00FC2FBE">
              <w:t>1.7</w:t>
            </w:r>
          </w:p>
        </w:tc>
        <w:tc>
          <w:tcPr>
            <w:tcW w:w="1223" w:type="dxa"/>
          </w:tcPr>
          <w:p w:rsidR="005858C8" w:rsidRPr="00FC2FBE" w:rsidRDefault="005858C8" w:rsidP="00D73466">
            <w:pPr>
              <w:jc w:val="center"/>
            </w:pPr>
            <w:r w:rsidRPr="00FC2FBE">
              <w:t>2.9</w:t>
            </w:r>
          </w:p>
        </w:tc>
        <w:tc>
          <w:tcPr>
            <w:tcW w:w="1223" w:type="dxa"/>
          </w:tcPr>
          <w:p w:rsidR="005858C8" w:rsidRPr="00FC2FBE" w:rsidRDefault="005858C8" w:rsidP="00D73466">
            <w:pPr>
              <w:jc w:val="center"/>
            </w:pPr>
            <w:r w:rsidRPr="00FC2FBE">
              <w:t>3.6</w:t>
            </w:r>
          </w:p>
        </w:tc>
        <w:tc>
          <w:tcPr>
            <w:tcW w:w="1223" w:type="dxa"/>
          </w:tcPr>
          <w:p w:rsidR="005858C8" w:rsidRPr="00FC2FBE" w:rsidRDefault="005858C8" w:rsidP="00D73466">
            <w:pPr>
              <w:jc w:val="center"/>
            </w:pPr>
            <w:r w:rsidRPr="00FC2FBE">
              <w:t>4.1</w:t>
            </w:r>
          </w:p>
        </w:tc>
        <w:tc>
          <w:tcPr>
            <w:tcW w:w="1223" w:type="dxa"/>
          </w:tcPr>
          <w:p w:rsidR="005858C8" w:rsidRPr="00FC2FBE" w:rsidRDefault="005858C8" w:rsidP="00D73466">
            <w:pPr>
              <w:jc w:val="center"/>
            </w:pPr>
            <w:r w:rsidRPr="00FC2FBE">
              <w:t>4.0</w:t>
            </w:r>
          </w:p>
        </w:tc>
        <w:tc>
          <w:tcPr>
            <w:tcW w:w="1223" w:type="dxa"/>
          </w:tcPr>
          <w:p w:rsidR="005858C8" w:rsidRPr="00FC2FBE" w:rsidRDefault="005858C8" w:rsidP="00D73466">
            <w:pPr>
              <w:jc w:val="center"/>
            </w:pPr>
            <w:r w:rsidRPr="00FC2FBE">
              <w:t>4.5</w:t>
            </w:r>
          </w:p>
        </w:tc>
        <w:tc>
          <w:tcPr>
            <w:tcW w:w="1223" w:type="dxa"/>
          </w:tcPr>
          <w:p w:rsidR="005858C8" w:rsidRPr="00FC2FBE" w:rsidRDefault="005858C8" w:rsidP="00D73466">
            <w:pPr>
              <w:jc w:val="center"/>
            </w:pPr>
            <w:r w:rsidRPr="00FC2FBE">
              <w:t>5.0</w:t>
            </w: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Non-tax revenue of the government budget</w:t>
            </w:r>
          </w:p>
        </w:tc>
        <w:tc>
          <w:tcPr>
            <w:tcW w:w="1223" w:type="dxa"/>
          </w:tcPr>
          <w:p w:rsidR="005858C8" w:rsidRPr="00FC2FBE" w:rsidRDefault="005858C8" w:rsidP="00D73466">
            <w:pPr>
              <w:jc w:val="center"/>
            </w:pPr>
            <w:r w:rsidRPr="00FC2FBE">
              <w:t>1.0</w:t>
            </w:r>
          </w:p>
        </w:tc>
        <w:tc>
          <w:tcPr>
            <w:tcW w:w="1223" w:type="dxa"/>
          </w:tcPr>
          <w:p w:rsidR="005858C8" w:rsidRPr="00FC2FBE" w:rsidRDefault="005858C8" w:rsidP="00D73466">
            <w:pPr>
              <w:jc w:val="center"/>
            </w:pPr>
            <w:r w:rsidRPr="00FC2FBE">
              <w:t>1.2</w:t>
            </w:r>
          </w:p>
        </w:tc>
        <w:tc>
          <w:tcPr>
            <w:tcW w:w="1223" w:type="dxa"/>
          </w:tcPr>
          <w:p w:rsidR="005858C8" w:rsidRPr="00FC2FBE" w:rsidRDefault="005858C8" w:rsidP="00D73466">
            <w:pPr>
              <w:jc w:val="center"/>
            </w:pPr>
            <w:r w:rsidRPr="00FC2FBE">
              <w:t>1.7</w:t>
            </w:r>
          </w:p>
        </w:tc>
        <w:tc>
          <w:tcPr>
            <w:tcW w:w="1223" w:type="dxa"/>
          </w:tcPr>
          <w:p w:rsidR="005858C8" w:rsidRPr="00FC2FBE" w:rsidRDefault="005858C8" w:rsidP="00D73466">
            <w:pPr>
              <w:jc w:val="center"/>
            </w:pPr>
            <w:r w:rsidRPr="00FC2FBE">
              <w:t>3.1</w:t>
            </w:r>
          </w:p>
        </w:tc>
        <w:tc>
          <w:tcPr>
            <w:tcW w:w="1223" w:type="dxa"/>
          </w:tcPr>
          <w:p w:rsidR="005858C8" w:rsidRPr="00FC2FBE" w:rsidRDefault="005858C8" w:rsidP="00D73466">
            <w:pPr>
              <w:jc w:val="center"/>
            </w:pPr>
            <w:r w:rsidRPr="00FC2FBE">
              <w:t>3.6</w:t>
            </w:r>
          </w:p>
        </w:tc>
        <w:tc>
          <w:tcPr>
            <w:tcW w:w="1223" w:type="dxa"/>
          </w:tcPr>
          <w:p w:rsidR="005858C8" w:rsidRPr="00FC2FBE" w:rsidRDefault="005858C8" w:rsidP="00D73466">
            <w:pPr>
              <w:jc w:val="center"/>
            </w:pPr>
            <w:r w:rsidRPr="00FC2FBE">
              <w:t>4.1</w:t>
            </w:r>
          </w:p>
        </w:tc>
        <w:tc>
          <w:tcPr>
            <w:tcW w:w="1223" w:type="dxa"/>
          </w:tcPr>
          <w:p w:rsidR="005858C8" w:rsidRPr="00FC2FBE" w:rsidRDefault="005858C8" w:rsidP="00D73466">
            <w:pPr>
              <w:jc w:val="center"/>
            </w:pPr>
            <w:r w:rsidRPr="00FC2FBE">
              <w:t>4.0</w:t>
            </w:r>
          </w:p>
        </w:tc>
        <w:tc>
          <w:tcPr>
            <w:tcW w:w="1223" w:type="dxa"/>
          </w:tcPr>
          <w:p w:rsidR="005858C8" w:rsidRPr="00FC2FBE" w:rsidRDefault="005858C8" w:rsidP="00D73466">
            <w:pPr>
              <w:jc w:val="center"/>
            </w:pPr>
            <w:r w:rsidRPr="00FC2FBE">
              <w:t>4.7</w:t>
            </w:r>
          </w:p>
        </w:tc>
        <w:tc>
          <w:tcPr>
            <w:tcW w:w="1223" w:type="dxa"/>
          </w:tcPr>
          <w:p w:rsidR="005858C8" w:rsidRDefault="005858C8" w:rsidP="00D73466">
            <w:pPr>
              <w:jc w:val="center"/>
            </w:pPr>
            <w:r w:rsidRPr="00FC2FBE">
              <w:t>4.9</w:t>
            </w:r>
          </w:p>
        </w:tc>
      </w:tr>
      <w:tr w:rsidR="005858C8" w:rsidRPr="00D31979" w:rsidTr="00D73466">
        <w:tc>
          <w:tcPr>
            <w:tcW w:w="3168" w:type="dxa"/>
          </w:tcPr>
          <w:p w:rsidR="005858C8" w:rsidRPr="00D31979" w:rsidRDefault="005858C8" w:rsidP="00D73466">
            <w:pPr>
              <w:jc w:val="left"/>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c>
          <w:tcPr>
            <w:tcW w:w="1223" w:type="dxa"/>
            <w:vAlign w:val="center"/>
          </w:tcPr>
          <w:p w:rsidR="005858C8" w:rsidRPr="00D31979" w:rsidRDefault="005858C8" w:rsidP="00D73466">
            <w:pPr>
              <w:jc w:val="center"/>
              <w:rPr>
                <w:rFonts w:cs="Times New Roman"/>
                <w:lang w:val="en-GB"/>
              </w:rPr>
            </w:pPr>
          </w:p>
        </w:tc>
      </w:tr>
      <w:tr w:rsidR="005858C8" w:rsidRPr="00D31979" w:rsidTr="00D73466">
        <w:tc>
          <w:tcPr>
            <w:tcW w:w="3168" w:type="dxa"/>
          </w:tcPr>
          <w:p w:rsidR="005858C8" w:rsidRPr="00D31979" w:rsidRDefault="005858C8" w:rsidP="00D73466">
            <w:pPr>
              <w:jc w:val="left"/>
              <w:rPr>
                <w:rFonts w:cs="Times New Roman"/>
                <w:lang w:val="en-GB"/>
              </w:rPr>
            </w:pPr>
            <w:r w:rsidRPr="00D31979">
              <w:rPr>
                <w:rFonts w:cs="Times New Roman"/>
                <w:lang w:val="en-GB"/>
              </w:rPr>
              <w:t>Consumer price index</w:t>
            </w:r>
          </w:p>
        </w:tc>
        <w:tc>
          <w:tcPr>
            <w:tcW w:w="1223" w:type="dxa"/>
          </w:tcPr>
          <w:p w:rsidR="005858C8" w:rsidRPr="002A45CC" w:rsidRDefault="005858C8" w:rsidP="00D73466">
            <w:pPr>
              <w:jc w:val="center"/>
            </w:pPr>
            <w:r w:rsidRPr="002A45CC">
              <w:t>0.1</w:t>
            </w:r>
          </w:p>
        </w:tc>
        <w:tc>
          <w:tcPr>
            <w:tcW w:w="1223" w:type="dxa"/>
          </w:tcPr>
          <w:p w:rsidR="005858C8" w:rsidRPr="002A45CC" w:rsidRDefault="005858C8" w:rsidP="00D73466">
            <w:pPr>
              <w:jc w:val="center"/>
            </w:pPr>
            <w:r w:rsidRPr="002A45CC">
              <w:t>0.1</w:t>
            </w:r>
          </w:p>
        </w:tc>
        <w:tc>
          <w:tcPr>
            <w:tcW w:w="1223" w:type="dxa"/>
          </w:tcPr>
          <w:p w:rsidR="005858C8" w:rsidRPr="002A45CC" w:rsidRDefault="005858C8" w:rsidP="00D73466">
            <w:pPr>
              <w:jc w:val="center"/>
            </w:pPr>
            <w:r w:rsidRPr="002A45CC">
              <w:t>0.3</w:t>
            </w:r>
          </w:p>
        </w:tc>
        <w:tc>
          <w:tcPr>
            <w:tcW w:w="1223" w:type="dxa"/>
          </w:tcPr>
          <w:p w:rsidR="005858C8" w:rsidRPr="002A45CC" w:rsidRDefault="005858C8" w:rsidP="00D73466">
            <w:pPr>
              <w:jc w:val="center"/>
            </w:pPr>
            <w:r w:rsidRPr="002A45CC">
              <w:t>0.4</w:t>
            </w:r>
          </w:p>
        </w:tc>
        <w:tc>
          <w:tcPr>
            <w:tcW w:w="1223" w:type="dxa"/>
          </w:tcPr>
          <w:p w:rsidR="005858C8" w:rsidRPr="002A45CC" w:rsidRDefault="005858C8" w:rsidP="00D73466">
            <w:pPr>
              <w:jc w:val="center"/>
            </w:pPr>
            <w:r w:rsidRPr="002A45CC">
              <w:t>0.7</w:t>
            </w:r>
          </w:p>
        </w:tc>
        <w:tc>
          <w:tcPr>
            <w:tcW w:w="1223" w:type="dxa"/>
          </w:tcPr>
          <w:p w:rsidR="005858C8" w:rsidRPr="002A45CC" w:rsidRDefault="005858C8" w:rsidP="00D73466">
            <w:pPr>
              <w:jc w:val="center"/>
            </w:pPr>
            <w:r w:rsidRPr="002A45CC">
              <w:t>1.0</w:t>
            </w:r>
          </w:p>
        </w:tc>
        <w:tc>
          <w:tcPr>
            <w:tcW w:w="1223" w:type="dxa"/>
          </w:tcPr>
          <w:p w:rsidR="005858C8" w:rsidRPr="002A45CC" w:rsidRDefault="005858C8" w:rsidP="00D73466">
            <w:pPr>
              <w:jc w:val="center"/>
            </w:pPr>
            <w:r w:rsidRPr="002A45CC">
              <w:t>1.2</w:t>
            </w:r>
          </w:p>
        </w:tc>
        <w:tc>
          <w:tcPr>
            <w:tcW w:w="1223" w:type="dxa"/>
          </w:tcPr>
          <w:p w:rsidR="005858C8" w:rsidRPr="002A45CC" w:rsidRDefault="005858C8" w:rsidP="00D73466">
            <w:pPr>
              <w:jc w:val="center"/>
            </w:pPr>
            <w:r w:rsidRPr="002A45CC">
              <w:t>1.3</w:t>
            </w:r>
          </w:p>
        </w:tc>
        <w:tc>
          <w:tcPr>
            <w:tcW w:w="1223" w:type="dxa"/>
          </w:tcPr>
          <w:p w:rsidR="005858C8" w:rsidRDefault="005858C8" w:rsidP="00D73466">
            <w:pPr>
              <w:jc w:val="center"/>
            </w:pPr>
            <w:r w:rsidRPr="002A45CC">
              <w:t>1.4</w:t>
            </w:r>
          </w:p>
        </w:tc>
      </w:tr>
    </w:tbl>
    <w:p w:rsidR="005858C8" w:rsidRPr="00D31979" w:rsidRDefault="005858C8" w:rsidP="005858C8">
      <w:pPr>
        <w:spacing w:after="0"/>
        <w:rPr>
          <w:lang w:val="en-GB"/>
        </w:rPr>
      </w:pPr>
      <w:r w:rsidRPr="00D31979">
        <w:rPr>
          <w:lang w:val="en-GB"/>
        </w:rPr>
        <w:t>* Impact calculated as in equation (3.</w:t>
      </w:r>
      <w:r>
        <w:rPr>
          <w:lang w:val="en-GB"/>
        </w:rPr>
        <w:t>3</w:t>
      </w:r>
      <w:r w:rsidRPr="00D31979">
        <w:rPr>
          <w:lang w:val="en-GB"/>
        </w:rPr>
        <w:t>)</w:t>
      </w:r>
    </w:p>
    <w:p w:rsidR="005858C8" w:rsidRPr="00D31979" w:rsidRDefault="005858C8" w:rsidP="005858C8">
      <w:pPr>
        <w:rPr>
          <w:lang w:val="en-GB"/>
        </w:rPr>
      </w:pPr>
      <w:r w:rsidRPr="00D31979">
        <w:rPr>
          <w:i/>
          <w:lang w:val="en-GB"/>
        </w:rPr>
        <w:t>Source: authors’ calculations</w:t>
      </w:r>
    </w:p>
    <w:p w:rsidR="005858C8" w:rsidRPr="00D31979" w:rsidRDefault="005858C8" w:rsidP="005858C8">
      <w:pPr>
        <w:jc w:val="left"/>
        <w:rPr>
          <w:b/>
          <w:lang w:val="en-GB"/>
        </w:rPr>
      </w:pPr>
      <w:r w:rsidRPr="00D31979">
        <w:rPr>
          <w:b/>
          <w:lang w:val="en-GB"/>
        </w:rPr>
        <w:br w:type="page"/>
      </w:r>
    </w:p>
    <w:p w:rsidR="005858C8" w:rsidRPr="00D31979" w:rsidRDefault="005858C8" w:rsidP="005858C8">
      <w:pPr>
        <w:rPr>
          <w:b/>
          <w:lang w:val="en-GB"/>
        </w:rPr>
      </w:pPr>
      <w:r w:rsidRPr="00D31979">
        <w:rPr>
          <w:b/>
          <w:lang w:val="en-GB"/>
        </w:rPr>
        <w:lastRenderedPageBreak/>
        <w:t xml:space="preserve">Table </w:t>
      </w:r>
      <w:r w:rsidR="00622A8D">
        <w:rPr>
          <w:b/>
          <w:lang w:val="en-GB"/>
        </w:rPr>
        <w:t>P.2</w:t>
      </w:r>
      <w:r w:rsidRPr="00D31979">
        <w:rPr>
          <w:b/>
          <w:lang w:val="en-GB"/>
        </w:rPr>
        <w:t xml:space="preserve"> (continuation): The impact of fund investment on the main macroeconomic indicators in 2002-2020, assuming 30% crowding out, %, unless specified otherwise.*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11"/>
        <w:gridCol w:w="1116"/>
        <w:gridCol w:w="1116"/>
        <w:gridCol w:w="1117"/>
        <w:gridCol w:w="1116"/>
        <w:gridCol w:w="1117"/>
        <w:gridCol w:w="1116"/>
        <w:gridCol w:w="1116"/>
        <w:gridCol w:w="1117"/>
        <w:gridCol w:w="1116"/>
        <w:gridCol w:w="1117"/>
      </w:tblGrid>
      <w:tr w:rsidR="005858C8" w:rsidRPr="00D31979" w:rsidTr="00D73466">
        <w:trPr>
          <w:tblHeader/>
        </w:trPr>
        <w:tc>
          <w:tcPr>
            <w:tcW w:w="3011" w:type="dxa"/>
            <w:shd w:val="clear" w:color="auto" w:fill="DBE5F1" w:themeFill="accent1" w:themeFillTint="33"/>
          </w:tcPr>
          <w:p w:rsidR="005858C8" w:rsidRPr="00D31979" w:rsidRDefault="005858C8" w:rsidP="00D73466">
            <w:pPr>
              <w:jc w:val="right"/>
              <w:rPr>
                <w:rFonts w:cs="Times New Roman"/>
                <w:b/>
                <w:lang w:val="en-GB"/>
              </w:rPr>
            </w:pPr>
          </w:p>
        </w:tc>
        <w:tc>
          <w:tcPr>
            <w:tcW w:w="1116"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2011</w:t>
            </w:r>
          </w:p>
        </w:tc>
        <w:tc>
          <w:tcPr>
            <w:tcW w:w="1116"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2012</w:t>
            </w:r>
          </w:p>
        </w:tc>
        <w:tc>
          <w:tcPr>
            <w:tcW w:w="1117"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2013</w:t>
            </w:r>
          </w:p>
        </w:tc>
        <w:tc>
          <w:tcPr>
            <w:tcW w:w="1116"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2014</w:t>
            </w:r>
          </w:p>
        </w:tc>
        <w:tc>
          <w:tcPr>
            <w:tcW w:w="1117"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2015</w:t>
            </w:r>
          </w:p>
        </w:tc>
        <w:tc>
          <w:tcPr>
            <w:tcW w:w="1116"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2016</w:t>
            </w:r>
          </w:p>
        </w:tc>
        <w:tc>
          <w:tcPr>
            <w:tcW w:w="1116"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2017</w:t>
            </w:r>
          </w:p>
        </w:tc>
        <w:tc>
          <w:tcPr>
            <w:tcW w:w="1117"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2018</w:t>
            </w:r>
          </w:p>
        </w:tc>
        <w:tc>
          <w:tcPr>
            <w:tcW w:w="1116"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2019</w:t>
            </w:r>
          </w:p>
        </w:tc>
        <w:tc>
          <w:tcPr>
            <w:tcW w:w="1117" w:type="dxa"/>
            <w:shd w:val="clear" w:color="auto" w:fill="DBE5F1" w:themeFill="accent1" w:themeFillTint="33"/>
            <w:vAlign w:val="center"/>
          </w:tcPr>
          <w:p w:rsidR="005858C8" w:rsidRPr="00D31979" w:rsidRDefault="005858C8" w:rsidP="00D73466">
            <w:pPr>
              <w:jc w:val="center"/>
              <w:rPr>
                <w:rFonts w:cs="Times New Roman"/>
                <w:b/>
                <w:lang w:val="en-GB"/>
              </w:rPr>
            </w:pPr>
            <w:r w:rsidRPr="00D31979">
              <w:rPr>
                <w:rFonts w:cs="Times New Roman"/>
                <w:b/>
                <w:lang w:val="en-GB"/>
              </w:rPr>
              <w:t>2020</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Real GDP</w:t>
            </w:r>
          </w:p>
        </w:tc>
        <w:tc>
          <w:tcPr>
            <w:tcW w:w="1116" w:type="dxa"/>
          </w:tcPr>
          <w:p w:rsidR="005858C8" w:rsidRPr="00BA57E3" w:rsidRDefault="005858C8" w:rsidP="00D73466">
            <w:pPr>
              <w:jc w:val="center"/>
            </w:pPr>
            <w:r w:rsidRPr="00BA57E3">
              <w:t>8.7</w:t>
            </w:r>
          </w:p>
        </w:tc>
        <w:tc>
          <w:tcPr>
            <w:tcW w:w="1116" w:type="dxa"/>
          </w:tcPr>
          <w:p w:rsidR="005858C8" w:rsidRPr="00BA57E3" w:rsidRDefault="005858C8" w:rsidP="00D73466">
            <w:pPr>
              <w:jc w:val="center"/>
            </w:pPr>
            <w:r w:rsidRPr="00BA57E3">
              <w:t>7.8</w:t>
            </w:r>
          </w:p>
        </w:tc>
        <w:tc>
          <w:tcPr>
            <w:tcW w:w="1117" w:type="dxa"/>
          </w:tcPr>
          <w:p w:rsidR="005858C8" w:rsidRPr="00BA57E3" w:rsidRDefault="005858C8" w:rsidP="00D73466">
            <w:pPr>
              <w:jc w:val="center"/>
            </w:pPr>
            <w:r w:rsidRPr="00BA57E3">
              <w:t>6.8</w:t>
            </w:r>
          </w:p>
        </w:tc>
        <w:tc>
          <w:tcPr>
            <w:tcW w:w="1116" w:type="dxa"/>
          </w:tcPr>
          <w:p w:rsidR="005858C8" w:rsidRPr="00BA57E3" w:rsidRDefault="005858C8" w:rsidP="00D73466">
            <w:pPr>
              <w:jc w:val="center"/>
            </w:pPr>
            <w:r w:rsidRPr="00BA57E3">
              <w:t>5.4</w:t>
            </w:r>
          </w:p>
        </w:tc>
        <w:tc>
          <w:tcPr>
            <w:tcW w:w="1117" w:type="dxa"/>
          </w:tcPr>
          <w:p w:rsidR="005858C8" w:rsidRPr="00BA57E3" w:rsidRDefault="005858C8" w:rsidP="00D73466">
            <w:pPr>
              <w:jc w:val="center"/>
            </w:pPr>
            <w:r w:rsidRPr="00BA57E3">
              <w:t>3.8</w:t>
            </w:r>
          </w:p>
        </w:tc>
        <w:tc>
          <w:tcPr>
            <w:tcW w:w="1116" w:type="dxa"/>
          </w:tcPr>
          <w:p w:rsidR="005858C8" w:rsidRPr="00BA57E3" w:rsidRDefault="005858C8" w:rsidP="00D73466">
            <w:pPr>
              <w:jc w:val="center"/>
            </w:pPr>
            <w:r w:rsidRPr="00BA57E3">
              <w:t>2.7</w:t>
            </w:r>
          </w:p>
        </w:tc>
        <w:tc>
          <w:tcPr>
            <w:tcW w:w="1116" w:type="dxa"/>
          </w:tcPr>
          <w:p w:rsidR="005858C8" w:rsidRPr="00BA57E3" w:rsidRDefault="005858C8" w:rsidP="00D73466">
            <w:pPr>
              <w:jc w:val="center"/>
            </w:pPr>
            <w:r w:rsidRPr="00BA57E3">
              <w:t>2.0</w:t>
            </w:r>
          </w:p>
        </w:tc>
        <w:tc>
          <w:tcPr>
            <w:tcW w:w="1117" w:type="dxa"/>
          </w:tcPr>
          <w:p w:rsidR="005858C8" w:rsidRPr="00BA57E3" w:rsidRDefault="005858C8" w:rsidP="00D73466">
            <w:pPr>
              <w:jc w:val="center"/>
            </w:pPr>
            <w:r w:rsidRPr="00BA57E3">
              <w:t>1.7</w:t>
            </w:r>
          </w:p>
        </w:tc>
        <w:tc>
          <w:tcPr>
            <w:tcW w:w="1116" w:type="dxa"/>
          </w:tcPr>
          <w:p w:rsidR="005858C8" w:rsidRPr="00BA57E3" w:rsidRDefault="005858C8" w:rsidP="00D73466">
            <w:pPr>
              <w:jc w:val="center"/>
            </w:pPr>
            <w:r w:rsidRPr="00BA57E3">
              <w:t>1.5</w:t>
            </w:r>
          </w:p>
        </w:tc>
        <w:tc>
          <w:tcPr>
            <w:tcW w:w="1117" w:type="dxa"/>
          </w:tcPr>
          <w:p w:rsidR="005858C8" w:rsidRDefault="005858C8" w:rsidP="00D73466">
            <w:pPr>
              <w:jc w:val="center"/>
            </w:pPr>
            <w:r w:rsidRPr="00BA57E3">
              <w:t>1.3</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Value added in constant prices:</w:t>
            </w:r>
          </w:p>
        </w:tc>
        <w:tc>
          <w:tcPr>
            <w:tcW w:w="1116"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Agriculture</w:t>
            </w:r>
          </w:p>
        </w:tc>
        <w:tc>
          <w:tcPr>
            <w:tcW w:w="1116" w:type="dxa"/>
          </w:tcPr>
          <w:p w:rsidR="005858C8" w:rsidRPr="00591D04" w:rsidRDefault="005858C8" w:rsidP="00D73466">
            <w:pPr>
              <w:jc w:val="center"/>
            </w:pPr>
            <w:r w:rsidRPr="00591D04">
              <w:t>6.8</w:t>
            </w:r>
          </w:p>
        </w:tc>
        <w:tc>
          <w:tcPr>
            <w:tcW w:w="1116" w:type="dxa"/>
          </w:tcPr>
          <w:p w:rsidR="005858C8" w:rsidRPr="00591D04" w:rsidRDefault="005858C8" w:rsidP="00D73466">
            <w:pPr>
              <w:jc w:val="center"/>
            </w:pPr>
            <w:r w:rsidRPr="00591D04">
              <w:t>6.4</w:t>
            </w:r>
          </w:p>
        </w:tc>
        <w:tc>
          <w:tcPr>
            <w:tcW w:w="1117" w:type="dxa"/>
          </w:tcPr>
          <w:p w:rsidR="005858C8" w:rsidRPr="00591D04" w:rsidRDefault="005858C8" w:rsidP="00D73466">
            <w:pPr>
              <w:jc w:val="center"/>
            </w:pPr>
            <w:r w:rsidRPr="00591D04">
              <w:t>3.2</w:t>
            </w:r>
          </w:p>
        </w:tc>
        <w:tc>
          <w:tcPr>
            <w:tcW w:w="1116" w:type="dxa"/>
          </w:tcPr>
          <w:p w:rsidR="005858C8" w:rsidRPr="00591D04" w:rsidRDefault="005858C8" w:rsidP="00D73466">
            <w:pPr>
              <w:jc w:val="center"/>
            </w:pPr>
            <w:r w:rsidRPr="00591D04">
              <w:t>-0.1</w:t>
            </w:r>
          </w:p>
        </w:tc>
        <w:tc>
          <w:tcPr>
            <w:tcW w:w="1117" w:type="dxa"/>
          </w:tcPr>
          <w:p w:rsidR="005858C8" w:rsidRPr="00591D04" w:rsidRDefault="005858C8" w:rsidP="00D73466">
            <w:pPr>
              <w:jc w:val="center"/>
            </w:pPr>
            <w:r w:rsidRPr="00591D04">
              <w:t>0.3</w:t>
            </w:r>
          </w:p>
        </w:tc>
        <w:tc>
          <w:tcPr>
            <w:tcW w:w="1116" w:type="dxa"/>
          </w:tcPr>
          <w:p w:rsidR="005858C8" w:rsidRPr="00591D04" w:rsidRDefault="005858C8" w:rsidP="00D73466">
            <w:pPr>
              <w:jc w:val="center"/>
            </w:pPr>
            <w:r w:rsidRPr="00591D04">
              <w:t>0.0</w:t>
            </w:r>
          </w:p>
        </w:tc>
        <w:tc>
          <w:tcPr>
            <w:tcW w:w="1116" w:type="dxa"/>
          </w:tcPr>
          <w:p w:rsidR="005858C8" w:rsidRPr="00591D04" w:rsidRDefault="005858C8" w:rsidP="00D73466">
            <w:pPr>
              <w:jc w:val="center"/>
            </w:pPr>
            <w:r w:rsidRPr="00591D04">
              <w:t>-0.5</w:t>
            </w:r>
          </w:p>
        </w:tc>
        <w:tc>
          <w:tcPr>
            <w:tcW w:w="1117" w:type="dxa"/>
          </w:tcPr>
          <w:p w:rsidR="005858C8" w:rsidRPr="00591D04" w:rsidRDefault="005858C8" w:rsidP="00D73466">
            <w:pPr>
              <w:jc w:val="center"/>
            </w:pPr>
            <w:r w:rsidRPr="00591D04">
              <w:t>-0.7</w:t>
            </w:r>
          </w:p>
        </w:tc>
        <w:tc>
          <w:tcPr>
            <w:tcW w:w="1116" w:type="dxa"/>
          </w:tcPr>
          <w:p w:rsidR="005858C8" w:rsidRPr="00591D04" w:rsidRDefault="005858C8" w:rsidP="00D73466">
            <w:pPr>
              <w:jc w:val="center"/>
            </w:pPr>
            <w:r w:rsidRPr="00591D04">
              <w:t>-0.7</w:t>
            </w:r>
          </w:p>
        </w:tc>
        <w:tc>
          <w:tcPr>
            <w:tcW w:w="1117" w:type="dxa"/>
          </w:tcPr>
          <w:p w:rsidR="005858C8" w:rsidRPr="00591D04" w:rsidRDefault="005858C8" w:rsidP="00D73466">
            <w:pPr>
              <w:jc w:val="center"/>
            </w:pPr>
            <w:r w:rsidRPr="00591D04">
              <w:t>-0.7</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Industry</w:t>
            </w:r>
          </w:p>
        </w:tc>
        <w:tc>
          <w:tcPr>
            <w:tcW w:w="1116" w:type="dxa"/>
          </w:tcPr>
          <w:p w:rsidR="005858C8" w:rsidRPr="00591D04" w:rsidRDefault="005858C8" w:rsidP="00D73466">
            <w:pPr>
              <w:jc w:val="center"/>
            </w:pPr>
            <w:r w:rsidRPr="00591D04">
              <w:t>10.9</w:t>
            </w:r>
          </w:p>
        </w:tc>
        <w:tc>
          <w:tcPr>
            <w:tcW w:w="1116" w:type="dxa"/>
          </w:tcPr>
          <w:p w:rsidR="005858C8" w:rsidRPr="00591D04" w:rsidRDefault="005858C8" w:rsidP="00D73466">
            <w:pPr>
              <w:jc w:val="center"/>
            </w:pPr>
            <w:r w:rsidRPr="00591D04">
              <w:t>5.5</w:t>
            </w:r>
          </w:p>
        </w:tc>
        <w:tc>
          <w:tcPr>
            <w:tcW w:w="1117" w:type="dxa"/>
          </w:tcPr>
          <w:p w:rsidR="005858C8" w:rsidRPr="00591D04" w:rsidRDefault="005858C8" w:rsidP="00D73466">
            <w:pPr>
              <w:jc w:val="center"/>
            </w:pPr>
            <w:r w:rsidRPr="00591D04">
              <w:t>6.3</w:t>
            </w:r>
          </w:p>
        </w:tc>
        <w:tc>
          <w:tcPr>
            <w:tcW w:w="1116" w:type="dxa"/>
          </w:tcPr>
          <w:p w:rsidR="005858C8" w:rsidRPr="00591D04" w:rsidRDefault="005858C8" w:rsidP="00D73466">
            <w:pPr>
              <w:jc w:val="center"/>
            </w:pPr>
            <w:r w:rsidRPr="00591D04">
              <w:t>4.1</w:t>
            </w:r>
          </w:p>
        </w:tc>
        <w:tc>
          <w:tcPr>
            <w:tcW w:w="1117" w:type="dxa"/>
          </w:tcPr>
          <w:p w:rsidR="005858C8" w:rsidRPr="00591D04" w:rsidRDefault="005858C8" w:rsidP="00D73466">
            <w:pPr>
              <w:jc w:val="center"/>
            </w:pPr>
            <w:r w:rsidRPr="00591D04">
              <w:t>2.1</w:t>
            </w:r>
          </w:p>
        </w:tc>
        <w:tc>
          <w:tcPr>
            <w:tcW w:w="1116" w:type="dxa"/>
          </w:tcPr>
          <w:p w:rsidR="005858C8" w:rsidRPr="00591D04" w:rsidRDefault="005858C8" w:rsidP="00D73466">
            <w:pPr>
              <w:jc w:val="center"/>
            </w:pPr>
            <w:r w:rsidRPr="00591D04">
              <w:t>1.9</w:t>
            </w:r>
          </w:p>
        </w:tc>
        <w:tc>
          <w:tcPr>
            <w:tcW w:w="1116" w:type="dxa"/>
          </w:tcPr>
          <w:p w:rsidR="005858C8" w:rsidRPr="00591D04" w:rsidRDefault="005858C8" w:rsidP="00D73466">
            <w:pPr>
              <w:jc w:val="center"/>
            </w:pPr>
            <w:r w:rsidRPr="00591D04">
              <w:t>2.4</w:t>
            </w:r>
          </w:p>
        </w:tc>
        <w:tc>
          <w:tcPr>
            <w:tcW w:w="1117" w:type="dxa"/>
          </w:tcPr>
          <w:p w:rsidR="005858C8" w:rsidRPr="00591D04" w:rsidRDefault="005858C8" w:rsidP="00D73466">
            <w:pPr>
              <w:jc w:val="center"/>
            </w:pPr>
            <w:r w:rsidRPr="00591D04">
              <w:t>2.9</w:t>
            </w:r>
          </w:p>
        </w:tc>
        <w:tc>
          <w:tcPr>
            <w:tcW w:w="1116" w:type="dxa"/>
          </w:tcPr>
          <w:p w:rsidR="005858C8" w:rsidRPr="00591D04" w:rsidRDefault="005858C8" w:rsidP="00D73466">
            <w:pPr>
              <w:jc w:val="center"/>
            </w:pPr>
            <w:r w:rsidRPr="00591D04">
              <w:t>3.2</w:t>
            </w:r>
          </w:p>
        </w:tc>
        <w:tc>
          <w:tcPr>
            <w:tcW w:w="1117" w:type="dxa"/>
          </w:tcPr>
          <w:p w:rsidR="005858C8" w:rsidRDefault="005858C8" w:rsidP="00D73466">
            <w:pPr>
              <w:jc w:val="center"/>
            </w:pPr>
            <w:r w:rsidRPr="00591D04">
              <w:t>3.4</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Construction</w:t>
            </w:r>
          </w:p>
        </w:tc>
        <w:tc>
          <w:tcPr>
            <w:tcW w:w="1116" w:type="dxa"/>
          </w:tcPr>
          <w:p w:rsidR="005858C8" w:rsidRPr="009A34B8" w:rsidRDefault="005858C8" w:rsidP="00D73466">
            <w:pPr>
              <w:jc w:val="center"/>
            </w:pPr>
            <w:r w:rsidRPr="009A34B8">
              <w:t>10.9</w:t>
            </w:r>
          </w:p>
        </w:tc>
        <w:tc>
          <w:tcPr>
            <w:tcW w:w="1116" w:type="dxa"/>
          </w:tcPr>
          <w:p w:rsidR="005858C8" w:rsidRPr="009A34B8" w:rsidRDefault="005858C8" w:rsidP="00D73466">
            <w:pPr>
              <w:jc w:val="center"/>
            </w:pPr>
            <w:r w:rsidRPr="009A34B8">
              <w:t>19.1</w:t>
            </w:r>
          </w:p>
        </w:tc>
        <w:tc>
          <w:tcPr>
            <w:tcW w:w="1117" w:type="dxa"/>
          </w:tcPr>
          <w:p w:rsidR="005858C8" w:rsidRPr="009A34B8" w:rsidRDefault="005858C8" w:rsidP="00D73466">
            <w:pPr>
              <w:jc w:val="center"/>
            </w:pPr>
            <w:r w:rsidRPr="009A34B8">
              <w:t>7.7</w:t>
            </w:r>
          </w:p>
        </w:tc>
        <w:tc>
          <w:tcPr>
            <w:tcW w:w="1116" w:type="dxa"/>
          </w:tcPr>
          <w:p w:rsidR="005858C8" w:rsidRPr="009A34B8" w:rsidRDefault="005858C8" w:rsidP="00D73466">
            <w:pPr>
              <w:jc w:val="center"/>
            </w:pPr>
            <w:r w:rsidRPr="009A34B8">
              <w:t>8.2</w:t>
            </w:r>
          </w:p>
        </w:tc>
        <w:tc>
          <w:tcPr>
            <w:tcW w:w="1117" w:type="dxa"/>
          </w:tcPr>
          <w:p w:rsidR="005858C8" w:rsidRPr="009A34B8" w:rsidRDefault="005858C8" w:rsidP="00D73466">
            <w:pPr>
              <w:jc w:val="center"/>
            </w:pPr>
            <w:r w:rsidRPr="009A34B8">
              <w:t>5.6</w:t>
            </w:r>
          </w:p>
        </w:tc>
        <w:tc>
          <w:tcPr>
            <w:tcW w:w="1116" w:type="dxa"/>
          </w:tcPr>
          <w:p w:rsidR="005858C8" w:rsidRPr="009A34B8" w:rsidRDefault="005858C8" w:rsidP="00D73466">
            <w:pPr>
              <w:jc w:val="center"/>
            </w:pPr>
            <w:r w:rsidRPr="009A34B8">
              <w:t>3.4</w:t>
            </w:r>
          </w:p>
        </w:tc>
        <w:tc>
          <w:tcPr>
            <w:tcW w:w="1116" w:type="dxa"/>
          </w:tcPr>
          <w:p w:rsidR="005858C8" w:rsidRPr="009A34B8" w:rsidRDefault="005858C8" w:rsidP="00D73466">
            <w:pPr>
              <w:jc w:val="center"/>
            </w:pPr>
            <w:r w:rsidRPr="009A34B8">
              <w:t>1.8</w:t>
            </w:r>
          </w:p>
        </w:tc>
        <w:tc>
          <w:tcPr>
            <w:tcW w:w="1117" w:type="dxa"/>
          </w:tcPr>
          <w:p w:rsidR="005858C8" w:rsidRPr="009A34B8" w:rsidRDefault="005858C8" w:rsidP="00D73466">
            <w:pPr>
              <w:jc w:val="center"/>
            </w:pPr>
            <w:r w:rsidRPr="009A34B8">
              <w:t>1.1</w:t>
            </w:r>
          </w:p>
        </w:tc>
        <w:tc>
          <w:tcPr>
            <w:tcW w:w="1116" w:type="dxa"/>
          </w:tcPr>
          <w:p w:rsidR="005858C8" w:rsidRPr="009A34B8" w:rsidRDefault="005858C8" w:rsidP="00D73466">
            <w:pPr>
              <w:jc w:val="center"/>
            </w:pPr>
            <w:r w:rsidRPr="009A34B8">
              <w:t>0.8</w:t>
            </w:r>
          </w:p>
        </w:tc>
        <w:tc>
          <w:tcPr>
            <w:tcW w:w="1117" w:type="dxa"/>
          </w:tcPr>
          <w:p w:rsidR="005858C8" w:rsidRDefault="005858C8" w:rsidP="00D73466">
            <w:pPr>
              <w:jc w:val="center"/>
            </w:pPr>
            <w:r w:rsidRPr="009A34B8">
              <w:t>0.8</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Private services</w:t>
            </w:r>
          </w:p>
        </w:tc>
        <w:tc>
          <w:tcPr>
            <w:tcW w:w="1116" w:type="dxa"/>
          </w:tcPr>
          <w:p w:rsidR="005858C8" w:rsidRPr="00BC0F75" w:rsidRDefault="005858C8" w:rsidP="00D73466">
            <w:pPr>
              <w:jc w:val="center"/>
            </w:pPr>
            <w:r w:rsidRPr="00BC0F75">
              <w:t>10.2</w:t>
            </w:r>
          </w:p>
        </w:tc>
        <w:tc>
          <w:tcPr>
            <w:tcW w:w="1116" w:type="dxa"/>
          </w:tcPr>
          <w:p w:rsidR="005858C8" w:rsidRPr="00BC0F75" w:rsidRDefault="005858C8" w:rsidP="00D73466">
            <w:pPr>
              <w:jc w:val="center"/>
            </w:pPr>
            <w:r w:rsidRPr="00BC0F75">
              <w:t>9.6</w:t>
            </w:r>
          </w:p>
        </w:tc>
        <w:tc>
          <w:tcPr>
            <w:tcW w:w="1117" w:type="dxa"/>
          </w:tcPr>
          <w:p w:rsidR="005858C8" w:rsidRPr="00BC0F75" w:rsidRDefault="005858C8" w:rsidP="00D73466">
            <w:pPr>
              <w:jc w:val="center"/>
            </w:pPr>
            <w:r w:rsidRPr="00BC0F75">
              <w:t>8.4</w:t>
            </w:r>
          </w:p>
        </w:tc>
        <w:tc>
          <w:tcPr>
            <w:tcW w:w="1116" w:type="dxa"/>
          </w:tcPr>
          <w:p w:rsidR="005858C8" w:rsidRPr="00BC0F75" w:rsidRDefault="005858C8" w:rsidP="00D73466">
            <w:pPr>
              <w:jc w:val="center"/>
            </w:pPr>
            <w:r w:rsidRPr="00BC0F75">
              <w:t>7.1</w:t>
            </w:r>
          </w:p>
        </w:tc>
        <w:tc>
          <w:tcPr>
            <w:tcW w:w="1117" w:type="dxa"/>
          </w:tcPr>
          <w:p w:rsidR="005858C8" w:rsidRPr="00BC0F75" w:rsidRDefault="005858C8" w:rsidP="00D73466">
            <w:pPr>
              <w:jc w:val="center"/>
            </w:pPr>
            <w:r w:rsidRPr="00BC0F75">
              <w:t>5.4</w:t>
            </w:r>
          </w:p>
        </w:tc>
        <w:tc>
          <w:tcPr>
            <w:tcW w:w="1116" w:type="dxa"/>
          </w:tcPr>
          <w:p w:rsidR="005858C8" w:rsidRPr="00BC0F75" w:rsidRDefault="005858C8" w:rsidP="00D73466">
            <w:pPr>
              <w:jc w:val="center"/>
            </w:pPr>
            <w:r w:rsidRPr="00BC0F75">
              <w:t>4.0</w:t>
            </w:r>
          </w:p>
        </w:tc>
        <w:tc>
          <w:tcPr>
            <w:tcW w:w="1116" w:type="dxa"/>
          </w:tcPr>
          <w:p w:rsidR="005858C8" w:rsidRPr="00BC0F75" w:rsidRDefault="005858C8" w:rsidP="00D73466">
            <w:pPr>
              <w:jc w:val="center"/>
            </w:pPr>
            <w:r w:rsidRPr="00BC0F75">
              <w:t>2.9</w:t>
            </w:r>
          </w:p>
        </w:tc>
        <w:tc>
          <w:tcPr>
            <w:tcW w:w="1117" w:type="dxa"/>
          </w:tcPr>
          <w:p w:rsidR="005858C8" w:rsidRPr="00BC0F75" w:rsidRDefault="005858C8" w:rsidP="00D73466">
            <w:pPr>
              <w:jc w:val="center"/>
            </w:pPr>
            <w:r w:rsidRPr="00BC0F75">
              <w:t>2.1</w:t>
            </w:r>
          </w:p>
        </w:tc>
        <w:tc>
          <w:tcPr>
            <w:tcW w:w="1116" w:type="dxa"/>
          </w:tcPr>
          <w:p w:rsidR="005858C8" w:rsidRPr="00BC0F75" w:rsidRDefault="005858C8" w:rsidP="00D73466">
            <w:pPr>
              <w:jc w:val="center"/>
            </w:pPr>
            <w:r w:rsidRPr="00BC0F75">
              <w:t>1.6</w:t>
            </w:r>
          </w:p>
        </w:tc>
        <w:tc>
          <w:tcPr>
            <w:tcW w:w="1117" w:type="dxa"/>
          </w:tcPr>
          <w:p w:rsidR="005858C8" w:rsidRDefault="005858C8" w:rsidP="00D73466">
            <w:pPr>
              <w:jc w:val="center"/>
            </w:pPr>
            <w:r w:rsidRPr="00BC0F75">
              <w:t>1.2</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Public services</w:t>
            </w:r>
          </w:p>
        </w:tc>
        <w:tc>
          <w:tcPr>
            <w:tcW w:w="1116" w:type="dxa"/>
          </w:tcPr>
          <w:p w:rsidR="005858C8" w:rsidRPr="00E219DF" w:rsidRDefault="005858C8" w:rsidP="00D73466">
            <w:pPr>
              <w:jc w:val="center"/>
            </w:pPr>
            <w:r w:rsidRPr="00E219DF">
              <w:t>1.4</w:t>
            </w:r>
          </w:p>
        </w:tc>
        <w:tc>
          <w:tcPr>
            <w:tcW w:w="1116" w:type="dxa"/>
          </w:tcPr>
          <w:p w:rsidR="005858C8" w:rsidRPr="00E219DF" w:rsidRDefault="005858C8" w:rsidP="00D73466">
            <w:pPr>
              <w:jc w:val="center"/>
            </w:pPr>
            <w:r w:rsidRPr="00E219DF">
              <w:t>1.6</w:t>
            </w:r>
          </w:p>
        </w:tc>
        <w:tc>
          <w:tcPr>
            <w:tcW w:w="1117" w:type="dxa"/>
          </w:tcPr>
          <w:p w:rsidR="005858C8" w:rsidRPr="00E219DF" w:rsidRDefault="005858C8" w:rsidP="00D73466">
            <w:pPr>
              <w:jc w:val="center"/>
            </w:pPr>
            <w:r w:rsidRPr="00E219DF">
              <w:t>1.5</w:t>
            </w:r>
          </w:p>
        </w:tc>
        <w:tc>
          <w:tcPr>
            <w:tcW w:w="1116" w:type="dxa"/>
          </w:tcPr>
          <w:p w:rsidR="005858C8" w:rsidRPr="00E219DF" w:rsidRDefault="005858C8" w:rsidP="00D73466">
            <w:pPr>
              <w:jc w:val="center"/>
            </w:pPr>
            <w:r w:rsidRPr="00E219DF">
              <w:t>1.2</w:t>
            </w:r>
          </w:p>
        </w:tc>
        <w:tc>
          <w:tcPr>
            <w:tcW w:w="1117" w:type="dxa"/>
          </w:tcPr>
          <w:p w:rsidR="005858C8" w:rsidRPr="00E219DF" w:rsidRDefault="005858C8" w:rsidP="00D73466">
            <w:pPr>
              <w:jc w:val="center"/>
            </w:pPr>
            <w:r w:rsidRPr="00E219DF">
              <w:t>0.8</w:t>
            </w:r>
          </w:p>
        </w:tc>
        <w:tc>
          <w:tcPr>
            <w:tcW w:w="1116" w:type="dxa"/>
          </w:tcPr>
          <w:p w:rsidR="005858C8" w:rsidRPr="00E219DF" w:rsidRDefault="005858C8" w:rsidP="00D73466">
            <w:pPr>
              <w:jc w:val="center"/>
            </w:pPr>
            <w:r w:rsidRPr="00E219DF">
              <w:t>0.4</w:t>
            </w:r>
          </w:p>
        </w:tc>
        <w:tc>
          <w:tcPr>
            <w:tcW w:w="1116" w:type="dxa"/>
          </w:tcPr>
          <w:p w:rsidR="005858C8" w:rsidRPr="00E219DF" w:rsidRDefault="005858C8" w:rsidP="00D73466">
            <w:pPr>
              <w:jc w:val="center"/>
            </w:pPr>
            <w:r w:rsidRPr="00E219DF">
              <w:t>0.2</w:t>
            </w:r>
          </w:p>
        </w:tc>
        <w:tc>
          <w:tcPr>
            <w:tcW w:w="1117" w:type="dxa"/>
          </w:tcPr>
          <w:p w:rsidR="005858C8" w:rsidRPr="00E219DF" w:rsidRDefault="005858C8" w:rsidP="00D73466">
            <w:pPr>
              <w:jc w:val="center"/>
            </w:pPr>
            <w:r w:rsidRPr="00E219DF">
              <w:t>0.2</w:t>
            </w:r>
          </w:p>
        </w:tc>
        <w:tc>
          <w:tcPr>
            <w:tcW w:w="1116" w:type="dxa"/>
          </w:tcPr>
          <w:p w:rsidR="005858C8" w:rsidRPr="00E219DF" w:rsidRDefault="005858C8" w:rsidP="00D73466">
            <w:pPr>
              <w:jc w:val="center"/>
            </w:pPr>
            <w:r w:rsidRPr="00E219DF">
              <w:t>0.2</w:t>
            </w:r>
          </w:p>
        </w:tc>
        <w:tc>
          <w:tcPr>
            <w:tcW w:w="1117" w:type="dxa"/>
          </w:tcPr>
          <w:p w:rsidR="005858C8" w:rsidRDefault="005858C8" w:rsidP="00D73466">
            <w:pPr>
              <w:jc w:val="center"/>
            </w:pPr>
            <w:r w:rsidRPr="00E219DF">
              <w:t>0.2</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Nominal GDP</w:t>
            </w:r>
          </w:p>
        </w:tc>
        <w:tc>
          <w:tcPr>
            <w:tcW w:w="1116" w:type="dxa"/>
          </w:tcPr>
          <w:p w:rsidR="005858C8" w:rsidRPr="00B12D31" w:rsidRDefault="005858C8" w:rsidP="00D73466">
            <w:pPr>
              <w:jc w:val="center"/>
            </w:pPr>
            <w:r w:rsidRPr="00B12D31">
              <w:t>12.8</w:t>
            </w:r>
          </w:p>
        </w:tc>
        <w:tc>
          <w:tcPr>
            <w:tcW w:w="1116" w:type="dxa"/>
          </w:tcPr>
          <w:p w:rsidR="005858C8" w:rsidRPr="00B12D31" w:rsidRDefault="005858C8" w:rsidP="00D73466">
            <w:pPr>
              <w:jc w:val="center"/>
            </w:pPr>
            <w:r w:rsidRPr="00B12D31">
              <w:t>12.5</w:t>
            </w:r>
          </w:p>
        </w:tc>
        <w:tc>
          <w:tcPr>
            <w:tcW w:w="1117" w:type="dxa"/>
          </w:tcPr>
          <w:p w:rsidR="005858C8" w:rsidRPr="00B12D31" w:rsidRDefault="005858C8" w:rsidP="00D73466">
            <w:pPr>
              <w:jc w:val="center"/>
            </w:pPr>
            <w:r w:rsidRPr="00B12D31">
              <w:t>11.8</w:t>
            </w:r>
          </w:p>
        </w:tc>
        <w:tc>
          <w:tcPr>
            <w:tcW w:w="1116" w:type="dxa"/>
          </w:tcPr>
          <w:p w:rsidR="005858C8" w:rsidRPr="00B12D31" w:rsidRDefault="005858C8" w:rsidP="00D73466">
            <w:pPr>
              <w:jc w:val="center"/>
            </w:pPr>
            <w:r w:rsidRPr="00B12D31">
              <w:t>10.0</w:t>
            </w:r>
          </w:p>
        </w:tc>
        <w:tc>
          <w:tcPr>
            <w:tcW w:w="1117" w:type="dxa"/>
          </w:tcPr>
          <w:p w:rsidR="005858C8" w:rsidRPr="00B12D31" w:rsidRDefault="005858C8" w:rsidP="00D73466">
            <w:pPr>
              <w:jc w:val="center"/>
            </w:pPr>
            <w:r w:rsidRPr="00B12D31">
              <w:t>7.6</w:t>
            </w:r>
          </w:p>
        </w:tc>
        <w:tc>
          <w:tcPr>
            <w:tcW w:w="1116" w:type="dxa"/>
          </w:tcPr>
          <w:p w:rsidR="005858C8" w:rsidRPr="00B12D31" w:rsidRDefault="005858C8" w:rsidP="00D73466">
            <w:pPr>
              <w:jc w:val="center"/>
            </w:pPr>
            <w:r w:rsidRPr="00B12D31">
              <w:t>5.6</w:t>
            </w:r>
          </w:p>
        </w:tc>
        <w:tc>
          <w:tcPr>
            <w:tcW w:w="1116" w:type="dxa"/>
          </w:tcPr>
          <w:p w:rsidR="005858C8" w:rsidRPr="00B12D31" w:rsidRDefault="005858C8" w:rsidP="00D73466">
            <w:pPr>
              <w:jc w:val="center"/>
            </w:pPr>
            <w:r w:rsidRPr="00B12D31">
              <w:t>4.3</w:t>
            </w:r>
          </w:p>
        </w:tc>
        <w:tc>
          <w:tcPr>
            <w:tcW w:w="1117" w:type="dxa"/>
          </w:tcPr>
          <w:p w:rsidR="005858C8" w:rsidRPr="00B12D31" w:rsidRDefault="005858C8" w:rsidP="00D73466">
            <w:pPr>
              <w:jc w:val="center"/>
            </w:pPr>
            <w:r w:rsidRPr="00B12D31">
              <w:t>3.5</w:t>
            </w:r>
          </w:p>
        </w:tc>
        <w:tc>
          <w:tcPr>
            <w:tcW w:w="1116" w:type="dxa"/>
          </w:tcPr>
          <w:p w:rsidR="005858C8" w:rsidRPr="00B12D31" w:rsidRDefault="005858C8" w:rsidP="00D73466">
            <w:pPr>
              <w:jc w:val="center"/>
            </w:pPr>
            <w:r w:rsidRPr="00B12D31">
              <w:t>3.1</w:t>
            </w:r>
          </w:p>
        </w:tc>
        <w:tc>
          <w:tcPr>
            <w:tcW w:w="1117" w:type="dxa"/>
          </w:tcPr>
          <w:p w:rsidR="005858C8" w:rsidRDefault="005858C8" w:rsidP="00D73466">
            <w:pPr>
              <w:jc w:val="center"/>
            </w:pPr>
            <w:r w:rsidRPr="00B12D31">
              <w:t>2.8</w:t>
            </w:r>
          </w:p>
        </w:tc>
      </w:tr>
      <w:tr w:rsidR="005858C8" w:rsidRPr="00D31979" w:rsidTr="00D73466">
        <w:tc>
          <w:tcPr>
            <w:tcW w:w="3011" w:type="dxa"/>
          </w:tcPr>
          <w:p w:rsidR="005858C8" w:rsidRPr="00D31979" w:rsidRDefault="005858C8" w:rsidP="00D73466">
            <w:pP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GDP expenditure components in constant prices</w:t>
            </w:r>
          </w:p>
        </w:tc>
        <w:tc>
          <w:tcPr>
            <w:tcW w:w="1116"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Private consumption</w:t>
            </w:r>
          </w:p>
        </w:tc>
        <w:tc>
          <w:tcPr>
            <w:tcW w:w="1116" w:type="dxa"/>
          </w:tcPr>
          <w:p w:rsidR="005858C8" w:rsidRPr="00723024" w:rsidRDefault="005858C8" w:rsidP="00D73466">
            <w:pPr>
              <w:jc w:val="center"/>
            </w:pPr>
            <w:r w:rsidRPr="00723024">
              <w:t>6.5</w:t>
            </w:r>
          </w:p>
        </w:tc>
        <w:tc>
          <w:tcPr>
            <w:tcW w:w="1116" w:type="dxa"/>
          </w:tcPr>
          <w:p w:rsidR="005858C8" w:rsidRPr="00723024" w:rsidRDefault="005858C8" w:rsidP="00D73466">
            <w:pPr>
              <w:jc w:val="center"/>
            </w:pPr>
            <w:r w:rsidRPr="00723024">
              <w:t>6.5</w:t>
            </w:r>
          </w:p>
        </w:tc>
        <w:tc>
          <w:tcPr>
            <w:tcW w:w="1117" w:type="dxa"/>
          </w:tcPr>
          <w:p w:rsidR="005858C8" w:rsidRPr="00723024" w:rsidRDefault="005858C8" w:rsidP="00D73466">
            <w:pPr>
              <w:jc w:val="center"/>
            </w:pPr>
            <w:r w:rsidRPr="00723024">
              <w:t>6.9</w:t>
            </w:r>
          </w:p>
        </w:tc>
        <w:tc>
          <w:tcPr>
            <w:tcW w:w="1116" w:type="dxa"/>
          </w:tcPr>
          <w:p w:rsidR="005858C8" w:rsidRPr="00723024" w:rsidRDefault="005858C8" w:rsidP="00D73466">
            <w:pPr>
              <w:jc w:val="center"/>
            </w:pPr>
            <w:r w:rsidRPr="00723024">
              <w:t>6.6</w:t>
            </w:r>
          </w:p>
        </w:tc>
        <w:tc>
          <w:tcPr>
            <w:tcW w:w="1117" w:type="dxa"/>
          </w:tcPr>
          <w:p w:rsidR="005858C8" w:rsidRPr="00723024" w:rsidRDefault="005858C8" w:rsidP="00D73466">
            <w:pPr>
              <w:jc w:val="center"/>
            </w:pPr>
            <w:r w:rsidRPr="00723024">
              <w:t>6.1</w:t>
            </w:r>
          </w:p>
        </w:tc>
        <w:tc>
          <w:tcPr>
            <w:tcW w:w="1116" w:type="dxa"/>
          </w:tcPr>
          <w:p w:rsidR="005858C8" w:rsidRPr="00723024" w:rsidRDefault="005858C8" w:rsidP="00D73466">
            <w:pPr>
              <w:jc w:val="center"/>
            </w:pPr>
            <w:r w:rsidRPr="00723024">
              <w:t>5.5</w:t>
            </w:r>
          </w:p>
        </w:tc>
        <w:tc>
          <w:tcPr>
            <w:tcW w:w="1116" w:type="dxa"/>
          </w:tcPr>
          <w:p w:rsidR="005858C8" w:rsidRPr="00723024" w:rsidRDefault="005858C8" w:rsidP="00D73466">
            <w:pPr>
              <w:jc w:val="center"/>
            </w:pPr>
            <w:r w:rsidRPr="00723024">
              <w:t>4.9</w:t>
            </w:r>
          </w:p>
        </w:tc>
        <w:tc>
          <w:tcPr>
            <w:tcW w:w="1117" w:type="dxa"/>
          </w:tcPr>
          <w:p w:rsidR="005858C8" w:rsidRPr="00723024" w:rsidRDefault="005858C8" w:rsidP="00D73466">
            <w:pPr>
              <w:jc w:val="center"/>
            </w:pPr>
            <w:r w:rsidRPr="00723024">
              <w:t>4.4</w:t>
            </w:r>
          </w:p>
        </w:tc>
        <w:tc>
          <w:tcPr>
            <w:tcW w:w="1116" w:type="dxa"/>
          </w:tcPr>
          <w:p w:rsidR="005858C8" w:rsidRPr="00723024" w:rsidRDefault="005858C8" w:rsidP="00D73466">
            <w:pPr>
              <w:jc w:val="center"/>
            </w:pPr>
            <w:r w:rsidRPr="00723024">
              <w:t>3.9</w:t>
            </w:r>
          </w:p>
        </w:tc>
        <w:tc>
          <w:tcPr>
            <w:tcW w:w="1117" w:type="dxa"/>
          </w:tcPr>
          <w:p w:rsidR="005858C8" w:rsidRPr="00723024" w:rsidRDefault="005858C8" w:rsidP="00D73466">
            <w:pPr>
              <w:jc w:val="center"/>
            </w:pPr>
            <w:r w:rsidRPr="00723024">
              <w:t>3.5</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Public consumption</w:t>
            </w:r>
          </w:p>
        </w:tc>
        <w:tc>
          <w:tcPr>
            <w:tcW w:w="1116" w:type="dxa"/>
          </w:tcPr>
          <w:p w:rsidR="005858C8" w:rsidRPr="00723024" w:rsidRDefault="005858C8" w:rsidP="00D73466">
            <w:pPr>
              <w:jc w:val="center"/>
            </w:pPr>
            <w:r w:rsidRPr="00723024">
              <w:t>1.3</w:t>
            </w:r>
          </w:p>
        </w:tc>
        <w:tc>
          <w:tcPr>
            <w:tcW w:w="1116" w:type="dxa"/>
          </w:tcPr>
          <w:p w:rsidR="005858C8" w:rsidRPr="00723024" w:rsidRDefault="005858C8" w:rsidP="00D73466">
            <w:pPr>
              <w:jc w:val="center"/>
            </w:pPr>
            <w:r w:rsidRPr="00723024">
              <w:t>0.9</w:t>
            </w:r>
          </w:p>
        </w:tc>
        <w:tc>
          <w:tcPr>
            <w:tcW w:w="1117" w:type="dxa"/>
          </w:tcPr>
          <w:p w:rsidR="005858C8" w:rsidRPr="00723024" w:rsidRDefault="005858C8" w:rsidP="00D73466">
            <w:pPr>
              <w:jc w:val="center"/>
            </w:pPr>
            <w:r w:rsidRPr="00723024">
              <w:t>0.4</w:t>
            </w:r>
          </w:p>
        </w:tc>
        <w:tc>
          <w:tcPr>
            <w:tcW w:w="1116" w:type="dxa"/>
          </w:tcPr>
          <w:p w:rsidR="005858C8" w:rsidRPr="00723024" w:rsidRDefault="005858C8" w:rsidP="00D73466">
            <w:pPr>
              <w:jc w:val="center"/>
            </w:pPr>
            <w:r w:rsidRPr="00723024">
              <w:t>-0.3</w:t>
            </w:r>
          </w:p>
        </w:tc>
        <w:tc>
          <w:tcPr>
            <w:tcW w:w="1117" w:type="dxa"/>
          </w:tcPr>
          <w:p w:rsidR="005858C8" w:rsidRPr="00723024" w:rsidRDefault="005858C8" w:rsidP="00D73466">
            <w:pPr>
              <w:jc w:val="center"/>
            </w:pPr>
            <w:r w:rsidRPr="00723024">
              <w:t>-1.0</w:t>
            </w:r>
          </w:p>
        </w:tc>
        <w:tc>
          <w:tcPr>
            <w:tcW w:w="1116" w:type="dxa"/>
          </w:tcPr>
          <w:p w:rsidR="005858C8" w:rsidRPr="00723024" w:rsidRDefault="005858C8" w:rsidP="00D73466">
            <w:pPr>
              <w:jc w:val="center"/>
            </w:pPr>
            <w:r w:rsidRPr="00723024">
              <w:t>-1.6</w:t>
            </w:r>
          </w:p>
        </w:tc>
        <w:tc>
          <w:tcPr>
            <w:tcW w:w="1116" w:type="dxa"/>
          </w:tcPr>
          <w:p w:rsidR="005858C8" w:rsidRPr="00723024" w:rsidRDefault="005858C8" w:rsidP="00D73466">
            <w:pPr>
              <w:jc w:val="center"/>
            </w:pPr>
            <w:r w:rsidRPr="00723024">
              <w:t>-1.9</w:t>
            </w:r>
          </w:p>
        </w:tc>
        <w:tc>
          <w:tcPr>
            <w:tcW w:w="1117" w:type="dxa"/>
          </w:tcPr>
          <w:p w:rsidR="005858C8" w:rsidRPr="00723024" w:rsidRDefault="005858C8" w:rsidP="00D73466">
            <w:pPr>
              <w:jc w:val="center"/>
            </w:pPr>
            <w:r w:rsidRPr="00723024">
              <w:t>-1.9</w:t>
            </w:r>
          </w:p>
        </w:tc>
        <w:tc>
          <w:tcPr>
            <w:tcW w:w="1116" w:type="dxa"/>
          </w:tcPr>
          <w:p w:rsidR="005858C8" w:rsidRPr="00723024" w:rsidRDefault="005858C8" w:rsidP="00D73466">
            <w:pPr>
              <w:jc w:val="center"/>
            </w:pPr>
            <w:r w:rsidRPr="00723024">
              <w:t>-1.7</w:t>
            </w:r>
          </w:p>
        </w:tc>
        <w:tc>
          <w:tcPr>
            <w:tcW w:w="1117" w:type="dxa"/>
          </w:tcPr>
          <w:p w:rsidR="005858C8" w:rsidRPr="00723024" w:rsidRDefault="005858C8" w:rsidP="00D73466">
            <w:pPr>
              <w:jc w:val="center"/>
            </w:pPr>
            <w:r w:rsidRPr="00723024">
              <w:t>-1.4</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Investment</w:t>
            </w:r>
          </w:p>
        </w:tc>
        <w:tc>
          <w:tcPr>
            <w:tcW w:w="1116" w:type="dxa"/>
          </w:tcPr>
          <w:p w:rsidR="005858C8" w:rsidRPr="00723024" w:rsidRDefault="005858C8" w:rsidP="00D73466">
            <w:pPr>
              <w:jc w:val="center"/>
            </w:pPr>
            <w:r w:rsidRPr="00723024">
              <w:t>-4.9</w:t>
            </w:r>
          </w:p>
        </w:tc>
        <w:tc>
          <w:tcPr>
            <w:tcW w:w="1116" w:type="dxa"/>
          </w:tcPr>
          <w:p w:rsidR="005858C8" w:rsidRPr="00723024" w:rsidRDefault="005858C8" w:rsidP="00D73466">
            <w:pPr>
              <w:jc w:val="center"/>
            </w:pPr>
            <w:r w:rsidRPr="00723024">
              <w:t>-2.0</w:t>
            </w:r>
          </w:p>
        </w:tc>
        <w:tc>
          <w:tcPr>
            <w:tcW w:w="1117" w:type="dxa"/>
          </w:tcPr>
          <w:p w:rsidR="005858C8" w:rsidRPr="00723024" w:rsidRDefault="005858C8" w:rsidP="00D73466">
            <w:pPr>
              <w:jc w:val="center"/>
            </w:pPr>
            <w:r w:rsidRPr="00723024">
              <w:t>3.8</w:t>
            </w:r>
          </w:p>
        </w:tc>
        <w:tc>
          <w:tcPr>
            <w:tcW w:w="1116" w:type="dxa"/>
          </w:tcPr>
          <w:p w:rsidR="005858C8" w:rsidRPr="00723024" w:rsidRDefault="005858C8" w:rsidP="00D73466">
            <w:pPr>
              <w:jc w:val="center"/>
            </w:pPr>
            <w:r w:rsidRPr="00723024">
              <w:t>-0.1</w:t>
            </w:r>
          </w:p>
        </w:tc>
        <w:tc>
          <w:tcPr>
            <w:tcW w:w="1117" w:type="dxa"/>
          </w:tcPr>
          <w:p w:rsidR="005858C8" w:rsidRPr="00723024" w:rsidRDefault="005858C8" w:rsidP="00D73466">
            <w:pPr>
              <w:jc w:val="center"/>
            </w:pPr>
            <w:r w:rsidRPr="00723024">
              <w:t>-0.2</w:t>
            </w:r>
          </w:p>
        </w:tc>
        <w:tc>
          <w:tcPr>
            <w:tcW w:w="1116" w:type="dxa"/>
          </w:tcPr>
          <w:p w:rsidR="005858C8" w:rsidRPr="00723024" w:rsidRDefault="005858C8" w:rsidP="00D73466">
            <w:pPr>
              <w:jc w:val="center"/>
            </w:pPr>
            <w:r w:rsidRPr="00723024">
              <w:t>0.6</w:t>
            </w:r>
          </w:p>
        </w:tc>
        <w:tc>
          <w:tcPr>
            <w:tcW w:w="1116" w:type="dxa"/>
          </w:tcPr>
          <w:p w:rsidR="005858C8" w:rsidRPr="00723024" w:rsidRDefault="005858C8" w:rsidP="00D73466">
            <w:pPr>
              <w:jc w:val="center"/>
            </w:pPr>
            <w:r w:rsidRPr="00723024">
              <w:t>2.1</w:t>
            </w:r>
          </w:p>
        </w:tc>
        <w:tc>
          <w:tcPr>
            <w:tcW w:w="1117" w:type="dxa"/>
          </w:tcPr>
          <w:p w:rsidR="005858C8" w:rsidRPr="00723024" w:rsidRDefault="005858C8" w:rsidP="00D73466">
            <w:pPr>
              <w:jc w:val="center"/>
            </w:pPr>
            <w:r w:rsidRPr="00723024">
              <w:t>2.9</w:t>
            </w:r>
          </w:p>
        </w:tc>
        <w:tc>
          <w:tcPr>
            <w:tcW w:w="1116" w:type="dxa"/>
          </w:tcPr>
          <w:p w:rsidR="005858C8" w:rsidRPr="00723024" w:rsidRDefault="005858C8" w:rsidP="00D73466">
            <w:pPr>
              <w:jc w:val="center"/>
            </w:pPr>
            <w:r w:rsidRPr="00723024">
              <w:t>3.4</w:t>
            </w:r>
          </w:p>
        </w:tc>
        <w:tc>
          <w:tcPr>
            <w:tcW w:w="1117" w:type="dxa"/>
          </w:tcPr>
          <w:p w:rsidR="005858C8" w:rsidRPr="00723024" w:rsidRDefault="005858C8" w:rsidP="00D73466">
            <w:pPr>
              <w:jc w:val="center"/>
            </w:pPr>
            <w:r w:rsidRPr="00723024">
              <w:t>3.9</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Exports of goods and services</w:t>
            </w:r>
          </w:p>
        </w:tc>
        <w:tc>
          <w:tcPr>
            <w:tcW w:w="1116" w:type="dxa"/>
          </w:tcPr>
          <w:p w:rsidR="005858C8" w:rsidRPr="00723024" w:rsidRDefault="005858C8" w:rsidP="00D73466">
            <w:pPr>
              <w:jc w:val="center"/>
            </w:pPr>
            <w:r w:rsidRPr="00723024">
              <w:t>-0.7</w:t>
            </w:r>
          </w:p>
        </w:tc>
        <w:tc>
          <w:tcPr>
            <w:tcW w:w="1116" w:type="dxa"/>
          </w:tcPr>
          <w:p w:rsidR="005858C8" w:rsidRPr="00723024" w:rsidRDefault="005858C8" w:rsidP="00D73466">
            <w:pPr>
              <w:jc w:val="center"/>
            </w:pPr>
            <w:r w:rsidRPr="00723024">
              <w:t>1.3</w:t>
            </w:r>
          </w:p>
        </w:tc>
        <w:tc>
          <w:tcPr>
            <w:tcW w:w="1117" w:type="dxa"/>
          </w:tcPr>
          <w:p w:rsidR="005858C8" w:rsidRPr="00723024" w:rsidRDefault="005858C8" w:rsidP="00D73466">
            <w:pPr>
              <w:jc w:val="center"/>
            </w:pPr>
            <w:r w:rsidRPr="00723024">
              <w:t>0.8</w:t>
            </w:r>
          </w:p>
        </w:tc>
        <w:tc>
          <w:tcPr>
            <w:tcW w:w="1116" w:type="dxa"/>
          </w:tcPr>
          <w:p w:rsidR="005858C8" w:rsidRPr="00723024" w:rsidRDefault="005858C8" w:rsidP="00D73466">
            <w:pPr>
              <w:jc w:val="center"/>
            </w:pPr>
            <w:r w:rsidRPr="00723024">
              <w:t>0.8</w:t>
            </w:r>
          </w:p>
        </w:tc>
        <w:tc>
          <w:tcPr>
            <w:tcW w:w="1117" w:type="dxa"/>
          </w:tcPr>
          <w:p w:rsidR="005858C8" w:rsidRPr="00723024" w:rsidRDefault="005858C8" w:rsidP="00D73466">
            <w:pPr>
              <w:jc w:val="center"/>
            </w:pPr>
            <w:r w:rsidRPr="00723024">
              <w:t>0.8</w:t>
            </w:r>
          </w:p>
        </w:tc>
        <w:tc>
          <w:tcPr>
            <w:tcW w:w="1116" w:type="dxa"/>
          </w:tcPr>
          <w:p w:rsidR="005858C8" w:rsidRPr="00723024" w:rsidRDefault="005858C8" w:rsidP="00D73466">
            <w:pPr>
              <w:jc w:val="center"/>
            </w:pPr>
            <w:r w:rsidRPr="00723024">
              <w:t>0.5</w:t>
            </w:r>
          </w:p>
        </w:tc>
        <w:tc>
          <w:tcPr>
            <w:tcW w:w="1116" w:type="dxa"/>
          </w:tcPr>
          <w:p w:rsidR="005858C8" w:rsidRPr="00723024" w:rsidRDefault="005858C8" w:rsidP="00D73466">
            <w:pPr>
              <w:jc w:val="center"/>
            </w:pPr>
            <w:r w:rsidRPr="00723024">
              <w:t>0.4</w:t>
            </w:r>
          </w:p>
        </w:tc>
        <w:tc>
          <w:tcPr>
            <w:tcW w:w="1117" w:type="dxa"/>
          </w:tcPr>
          <w:p w:rsidR="005858C8" w:rsidRPr="00723024" w:rsidRDefault="005858C8" w:rsidP="00D73466">
            <w:pPr>
              <w:jc w:val="center"/>
            </w:pPr>
            <w:r w:rsidRPr="00723024">
              <w:t>0.3</w:t>
            </w:r>
          </w:p>
        </w:tc>
        <w:tc>
          <w:tcPr>
            <w:tcW w:w="1116" w:type="dxa"/>
          </w:tcPr>
          <w:p w:rsidR="005858C8" w:rsidRPr="00723024" w:rsidRDefault="005858C8" w:rsidP="00D73466">
            <w:pPr>
              <w:jc w:val="center"/>
            </w:pPr>
            <w:r w:rsidRPr="00723024">
              <w:t>0.3</w:t>
            </w:r>
          </w:p>
        </w:tc>
        <w:tc>
          <w:tcPr>
            <w:tcW w:w="1117" w:type="dxa"/>
          </w:tcPr>
          <w:p w:rsidR="005858C8" w:rsidRPr="00723024" w:rsidRDefault="005858C8" w:rsidP="00D73466">
            <w:pPr>
              <w:jc w:val="center"/>
            </w:pPr>
            <w:r w:rsidRPr="00723024">
              <w:t>0.3</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Imports of goods and services</w:t>
            </w:r>
          </w:p>
        </w:tc>
        <w:tc>
          <w:tcPr>
            <w:tcW w:w="1116" w:type="dxa"/>
          </w:tcPr>
          <w:p w:rsidR="005858C8" w:rsidRPr="00723024" w:rsidRDefault="005858C8" w:rsidP="00D73466">
            <w:pPr>
              <w:jc w:val="center"/>
            </w:pPr>
            <w:r w:rsidRPr="00723024">
              <w:t>5.9</w:t>
            </w:r>
          </w:p>
        </w:tc>
        <w:tc>
          <w:tcPr>
            <w:tcW w:w="1116" w:type="dxa"/>
          </w:tcPr>
          <w:p w:rsidR="005858C8" w:rsidRPr="00723024" w:rsidRDefault="005858C8" w:rsidP="00D73466">
            <w:pPr>
              <w:jc w:val="center"/>
            </w:pPr>
            <w:r w:rsidRPr="00723024">
              <w:t>1.9</w:t>
            </w:r>
          </w:p>
        </w:tc>
        <w:tc>
          <w:tcPr>
            <w:tcW w:w="1117" w:type="dxa"/>
          </w:tcPr>
          <w:p w:rsidR="005858C8" w:rsidRPr="00723024" w:rsidRDefault="005858C8" w:rsidP="00D73466">
            <w:pPr>
              <w:jc w:val="center"/>
            </w:pPr>
            <w:r w:rsidRPr="00723024">
              <w:t>6.1</w:t>
            </w:r>
          </w:p>
        </w:tc>
        <w:tc>
          <w:tcPr>
            <w:tcW w:w="1116" w:type="dxa"/>
          </w:tcPr>
          <w:p w:rsidR="005858C8" w:rsidRPr="00723024" w:rsidRDefault="005858C8" w:rsidP="00D73466">
            <w:pPr>
              <w:jc w:val="center"/>
            </w:pPr>
            <w:r w:rsidRPr="00723024">
              <w:t>4.6</w:t>
            </w:r>
          </w:p>
        </w:tc>
        <w:tc>
          <w:tcPr>
            <w:tcW w:w="1117" w:type="dxa"/>
          </w:tcPr>
          <w:p w:rsidR="005858C8" w:rsidRPr="00723024" w:rsidRDefault="005858C8" w:rsidP="00D73466">
            <w:pPr>
              <w:jc w:val="center"/>
            </w:pPr>
            <w:r w:rsidRPr="00723024">
              <w:t>4.1</w:t>
            </w:r>
          </w:p>
        </w:tc>
        <w:tc>
          <w:tcPr>
            <w:tcW w:w="1116" w:type="dxa"/>
          </w:tcPr>
          <w:p w:rsidR="005858C8" w:rsidRPr="00723024" w:rsidRDefault="005858C8" w:rsidP="00D73466">
            <w:pPr>
              <w:jc w:val="center"/>
            </w:pPr>
            <w:r w:rsidRPr="00723024">
              <w:t>3.9</w:t>
            </w:r>
          </w:p>
        </w:tc>
        <w:tc>
          <w:tcPr>
            <w:tcW w:w="1116" w:type="dxa"/>
          </w:tcPr>
          <w:p w:rsidR="005858C8" w:rsidRPr="00723024" w:rsidRDefault="005858C8" w:rsidP="00D73466">
            <w:pPr>
              <w:jc w:val="center"/>
            </w:pPr>
            <w:r w:rsidRPr="00723024">
              <w:t>4.0</w:t>
            </w:r>
          </w:p>
        </w:tc>
        <w:tc>
          <w:tcPr>
            <w:tcW w:w="1117" w:type="dxa"/>
          </w:tcPr>
          <w:p w:rsidR="005858C8" w:rsidRPr="00723024" w:rsidRDefault="005858C8" w:rsidP="00D73466">
            <w:pPr>
              <w:jc w:val="center"/>
            </w:pPr>
            <w:r w:rsidRPr="00723024">
              <w:t>3.9</w:t>
            </w:r>
          </w:p>
        </w:tc>
        <w:tc>
          <w:tcPr>
            <w:tcW w:w="1116" w:type="dxa"/>
          </w:tcPr>
          <w:p w:rsidR="005858C8" w:rsidRPr="00723024" w:rsidRDefault="005858C8" w:rsidP="00D73466">
            <w:pPr>
              <w:jc w:val="center"/>
            </w:pPr>
            <w:r w:rsidRPr="00723024">
              <w:t>3.7</w:t>
            </w:r>
          </w:p>
        </w:tc>
        <w:tc>
          <w:tcPr>
            <w:tcW w:w="1117" w:type="dxa"/>
          </w:tcPr>
          <w:p w:rsidR="005858C8" w:rsidRDefault="005858C8" w:rsidP="00D73466">
            <w:pPr>
              <w:jc w:val="center"/>
            </w:pPr>
            <w:r w:rsidRPr="00723024">
              <w:t>3.6</w:t>
            </w:r>
          </w:p>
        </w:tc>
      </w:tr>
      <w:tr w:rsidR="005858C8" w:rsidRPr="00D31979" w:rsidTr="00D73466">
        <w:tc>
          <w:tcPr>
            <w:tcW w:w="3011" w:type="dxa"/>
          </w:tcPr>
          <w:p w:rsidR="005858C8" w:rsidRPr="00D31979" w:rsidRDefault="005858C8" w:rsidP="00D73466">
            <w:pPr>
              <w:jc w:val="left"/>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Number of persons employed</w:t>
            </w:r>
          </w:p>
        </w:tc>
        <w:tc>
          <w:tcPr>
            <w:tcW w:w="1116" w:type="dxa"/>
          </w:tcPr>
          <w:p w:rsidR="005858C8" w:rsidRPr="008F4D37" w:rsidRDefault="005858C8" w:rsidP="00D73466">
            <w:pPr>
              <w:jc w:val="center"/>
            </w:pPr>
            <w:r w:rsidRPr="008F4D37">
              <w:t>1.9</w:t>
            </w:r>
          </w:p>
        </w:tc>
        <w:tc>
          <w:tcPr>
            <w:tcW w:w="1116" w:type="dxa"/>
          </w:tcPr>
          <w:p w:rsidR="005858C8" w:rsidRPr="008F4D37" w:rsidRDefault="005858C8" w:rsidP="00D73466">
            <w:pPr>
              <w:jc w:val="center"/>
            </w:pPr>
            <w:r w:rsidRPr="008F4D37">
              <w:t>2.5</w:t>
            </w:r>
          </w:p>
        </w:tc>
        <w:tc>
          <w:tcPr>
            <w:tcW w:w="1117" w:type="dxa"/>
          </w:tcPr>
          <w:p w:rsidR="005858C8" w:rsidRPr="008F4D37" w:rsidRDefault="005858C8" w:rsidP="00D73466">
            <w:pPr>
              <w:jc w:val="center"/>
            </w:pPr>
            <w:r w:rsidRPr="008F4D37">
              <w:t>1.9</w:t>
            </w:r>
          </w:p>
        </w:tc>
        <w:tc>
          <w:tcPr>
            <w:tcW w:w="1116" w:type="dxa"/>
          </w:tcPr>
          <w:p w:rsidR="005858C8" w:rsidRPr="008F4D37" w:rsidRDefault="005858C8" w:rsidP="00D73466">
            <w:pPr>
              <w:jc w:val="center"/>
            </w:pPr>
            <w:r w:rsidRPr="008F4D37">
              <w:t>1.5</w:t>
            </w:r>
          </w:p>
        </w:tc>
        <w:tc>
          <w:tcPr>
            <w:tcW w:w="1117" w:type="dxa"/>
          </w:tcPr>
          <w:p w:rsidR="005858C8" w:rsidRPr="008F4D37" w:rsidRDefault="005858C8" w:rsidP="00D73466">
            <w:pPr>
              <w:jc w:val="center"/>
            </w:pPr>
            <w:r w:rsidRPr="008F4D37">
              <w:t>1.0</w:t>
            </w:r>
          </w:p>
        </w:tc>
        <w:tc>
          <w:tcPr>
            <w:tcW w:w="1116" w:type="dxa"/>
          </w:tcPr>
          <w:p w:rsidR="005858C8" w:rsidRPr="008F4D37" w:rsidRDefault="005858C8" w:rsidP="00D73466">
            <w:pPr>
              <w:jc w:val="center"/>
            </w:pPr>
            <w:r w:rsidRPr="008F4D37">
              <w:t>0.5</w:t>
            </w:r>
          </w:p>
        </w:tc>
        <w:tc>
          <w:tcPr>
            <w:tcW w:w="1116" w:type="dxa"/>
          </w:tcPr>
          <w:p w:rsidR="005858C8" w:rsidRPr="008F4D37" w:rsidRDefault="005858C8" w:rsidP="00D73466">
            <w:pPr>
              <w:jc w:val="center"/>
            </w:pPr>
            <w:r w:rsidRPr="008F4D37">
              <w:t>0.3</w:t>
            </w:r>
          </w:p>
        </w:tc>
        <w:tc>
          <w:tcPr>
            <w:tcW w:w="1117" w:type="dxa"/>
          </w:tcPr>
          <w:p w:rsidR="005858C8" w:rsidRPr="008F4D37" w:rsidRDefault="005858C8" w:rsidP="00D73466">
            <w:pPr>
              <w:jc w:val="center"/>
            </w:pPr>
            <w:r w:rsidRPr="008F4D37">
              <w:t>0.2</w:t>
            </w:r>
          </w:p>
        </w:tc>
        <w:tc>
          <w:tcPr>
            <w:tcW w:w="1116" w:type="dxa"/>
          </w:tcPr>
          <w:p w:rsidR="005858C8" w:rsidRPr="008F4D37" w:rsidRDefault="005858C8" w:rsidP="00D73466">
            <w:pPr>
              <w:jc w:val="center"/>
            </w:pPr>
            <w:r w:rsidRPr="008F4D37">
              <w:t>0.2</w:t>
            </w:r>
          </w:p>
        </w:tc>
        <w:tc>
          <w:tcPr>
            <w:tcW w:w="1117" w:type="dxa"/>
          </w:tcPr>
          <w:p w:rsidR="005858C8" w:rsidRPr="008F4D37" w:rsidRDefault="005858C8" w:rsidP="00D73466">
            <w:pPr>
              <w:jc w:val="center"/>
            </w:pPr>
            <w:r w:rsidRPr="008F4D37">
              <w:t>0.2</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Unemployment level, in percentage points</w:t>
            </w:r>
          </w:p>
        </w:tc>
        <w:tc>
          <w:tcPr>
            <w:tcW w:w="1116" w:type="dxa"/>
          </w:tcPr>
          <w:p w:rsidR="005858C8" w:rsidRPr="008F4D37" w:rsidRDefault="005858C8" w:rsidP="00D73466">
            <w:pPr>
              <w:jc w:val="center"/>
            </w:pPr>
            <w:r w:rsidRPr="008F4D37">
              <w:t>-1.7</w:t>
            </w:r>
          </w:p>
        </w:tc>
        <w:tc>
          <w:tcPr>
            <w:tcW w:w="1116" w:type="dxa"/>
          </w:tcPr>
          <w:p w:rsidR="005858C8" w:rsidRPr="008F4D37" w:rsidRDefault="005858C8" w:rsidP="00D73466">
            <w:pPr>
              <w:jc w:val="center"/>
            </w:pPr>
            <w:r w:rsidRPr="008F4D37">
              <w:t>-2.1</w:t>
            </w:r>
          </w:p>
        </w:tc>
        <w:tc>
          <w:tcPr>
            <w:tcW w:w="1117" w:type="dxa"/>
          </w:tcPr>
          <w:p w:rsidR="005858C8" w:rsidRPr="008F4D37" w:rsidRDefault="005858C8" w:rsidP="00D73466">
            <w:pPr>
              <w:jc w:val="center"/>
            </w:pPr>
            <w:r w:rsidRPr="008F4D37">
              <w:t>-1.8</w:t>
            </w:r>
          </w:p>
        </w:tc>
        <w:tc>
          <w:tcPr>
            <w:tcW w:w="1116" w:type="dxa"/>
          </w:tcPr>
          <w:p w:rsidR="005858C8" w:rsidRPr="008F4D37" w:rsidRDefault="005858C8" w:rsidP="00D73466">
            <w:pPr>
              <w:jc w:val="center"/>
            </w:pPr>
            <w:r w:rsidRPr="008F4D37">
              <w:t>-1.5</w:t>
            </w:r>
          </w:p>
        </w:tc>
        <w:tc>
          <w:tcPr>
            <w:tcW w:w="1117" w:type="dxa"/>
          </w:tcPr>
          <w:p w:rsidR="005858C8" w:rsidRPr="008F4D37" w:rsidRDefault="005858C8" w:rsidP="00D73466">
            <w:pPr>
              <w:jc w:val="center"/>
            </w:pPr>
            <w:r w:rsidRPr="008F4D37">
              <w:t>-1.0</w:t>
            </w:r>
          </w:p>
        </w:tc>
        <w:tc>
          <w:tcPr>
            <w:tcW w:w="1116" w:type="dxa"/>
          </w:tcPr>
          <w:p w:rsidR="005858C8" w:rsidRPr="008F4D37" w:rsidRDefault="005858C8" w:rsidP="00D73466">
            <w:pPr>
              <w:jc w:val="center"/>
            </w:pPr>
            <w:r w:rsidRPr="008F4D37">
              <w:t>-0.5</w:t>
            </w:r>
          </w:p>
        </w:tc>
        <w:tc>
          <w:tcPr>
            <w:tcW w:w="1116" w:type="dxa"/>
          </w:tcPr>
          <w:p w:rsidR="005858C8" w:rsidRPr="008F4D37" w:rsidRDefault="005858C8" w:rsidP="00D73466">
            <w:pPr>
              <w:jc w:val="center"/>
            </w:pPr>
            <w:r w:rsidRPr="008F4D37">
              <w:t>-0.3</w:t>
            </w:r>
          </w:p>
        </w:tc>
        <w:tc>
          <w:tcPr>
            <w:tcW w:w="1117" w:type="dxa"/>
          </w:tcPr>
          <w:p w:rsidR="005858C8" w:rsidRPr="008F4D37" w:rsidRDefault="005858C8" w:rsidP="00D73466">
            <w:pPr>
              <w:jc w:val="center"/>
            </w:pPr>
            <w:r w:rsidRPr="008F4D37">
              <w:t>-0.2</w:t>
            </w:r>
          </w:p>
        </w:tc>
        <w:tc>
          <w:tcPr>
            <w:tcW w:w="1116" w:type="dxa"/>
          </w:tcPr>
          <w:p w:rsidR="005858C8" w:rsidRPr="008F4D37" w:rsidRDefault="005858C8" w:rsidP="00D73466">
            <w:pPr>
              <w:jc w:val="center"/>
            </w:pPr>
            <w:r w:rsidRPr="008F4D37">
              <w:t>-0.2</w:t>
            </w:r>
          </w:p>
        </w:tc>
        <w:tc>
          <w:tcPr>
            <w:tcW w:w="1117" w:type="dxa"/>
          </w:tcPr>
          <w:p w:rsidR="005858C8" w:rsidRDefault="005858C8" w:rsidP="00D73466">
            <w:pPr>
              <w:jc w:val="center"/>
            </w:pPr>
            <w:r w:rsidRPr="008F4D37">
              <w:t>-0.2</w:t>
            </w:r>
          </w:p>
        </w:tc>
      </w:tr>
      <w:tr w:rsidR="005858C8" w:rsidRPr="00D31979" w:rsidTr="00D73466">
        <w:tc>
          <w:tcPr>
            <w:tcW w:w="3011" w:type="dxa"/>
          </w:tcPr>
          <w:p w:rsidR="005858C8" w:rsidRPr="00D31979" w:rsidRDefault="005858C8" w:rsidP="00D73466">
            <w:pPr>
              <w:rPr>
                <w:rFonts w:cs="Times New Roman"/>
                <w:lang w:val="en-GB"/>
              </w:rPr>
            </w:pPr>
          </w:p>
        </w:tc>
        <w:tc>
          <w:tcPr>
            <w:tcW w:w="1116"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r>
      <w:tr w:rsidR="005858C8" w:rsidRPr="00D31979" w:rsidTr="00D73466">
        <w:tc>
          <w:tcPr>
            <w:tcW w:w="3011" w:type="dxa"/>
          </w:tcPr>
          <w:p w:rsidR="005858C8" w:rsidRPr="00D31979" w:rsidRDefault="005858C8" w:rsidP="00D73466">
            <w:pPr>
              <w:rPr>
                <w:rFonts w:cs="Times New Roman"/>
                <w:lang w:val="en-GB"/>
              </w:rPr>
            </w:pPr>
            <w:r w:rsidRPr="00D31979">
              <w:rPr>
                <w:rFonts w:cs="Times New Roman"/>
                <w:lang w:val="en-GB"/>
              </w:rPr>
              <w:t>Nominal monthly wage</w:t>
            </w:r>
          </w:p>
        </w:tc>
        <w:tc>
          <w:tcPr>
            <w:tcW w:w="1116" w:type="dxa"/>
          </w:tcPr>
          <w:p w:rsidR="005858C8" w:rsidRPr="00AF21BC" w:rsidRDefault="005858C8" w:rsidP="00D73466">
            <w:pPr>
              <w:jc w:val="center"/>
            </w:pPr>
            <w:r w:rsidRPr="00AF21BC">
              <w:t>6.2</w:t>
            </w:r>
          </w:p>
        </w:tc>
        <w:tc>
          <w:tcPr>
            <w:tcW w:w="1116" w:type="dxa"/>
          </w:tcPr>
          <w:p w:rsidR="005858C8" w:rsidRPr="00AF21BC" w:rsidRDefault="005858C8" w:rsidP="00D73466">
            <w:pPr>
              <w:jc w:val="center"/>
            </w:pPr>
            <w:r w:rsidRPr="00AF21BC">
              <w:t>6.0</w:t>
            </w:r>
          </w:p>
        </w:tc>
        <w:tc>
          <w:tcPr>
            <w:tcW w:w="1117" w:type="dxa"/>
          </w:tcPr>
          <w:p w:rsidR="005858C8" w:rsidRPr="00AF21BC" w:rsidRDefault="005858C8" w:rsidP="00D73466">
            <w:pPr>
              <w:jc w:val="center"/>
            </w:pPr>
            <w:r w:rsidRPr="00AF21BC">
              <w:t>7.9</w:t>
            </w:r>
          </w:p>
        </w:tc>
        <w:tc>
          <w:tcPr>
            <w:tcW w:w="1116" w:type="dxa"/>
          </w:tcPr>
          <w:p w:rsidR="005858C8" w:rsidRPr="00AF21BC" w:rsidRDefault="005858C8" w:rsidP="00D73466">
            <w:pPr>
              <w:jc w:val="center"/>
            </w:pPr>
            <w:r w:rsidRPr="00AF21BC">
              <w:t>6.2</w:t>
            </w:r>
          </w:p>
        </w:tc>
        <w:tc>
          <w:tcPr>
            <w:tcW w:w="1117" w:type="dxa"/>
          </w:tcPr>
          <w:p w:rsidR="005858C8" w:rsidRPr="00AF21BC" w:rsidRDefault="005858C8" w:rsidP="00D73466">
            <w:pPr>
              <w:jc w:val="center"/>
            </w:pPr>
            <w:r w:rsidRPr="00AF21BC">
              <w:t>5.6</w:t>
            </w:r>
          </w:p>
        </w:tc>
        <w:tc>
          <w:tcPr>
            <w:tcW w:w="1116" w:type="dxa"/>
          </w:tcPr>
          <w:p w:rsidR="005858C8" w:rsidRPr="00AF21BC" w:rsidRDefault="005858C8" w:rsidP="00D73466">
            <w:pPr>
              <w:jc w:val="center"/>
            </w:pPr>
            <w:r w:rsidRPr="00AF21BC">
              <w:t>4.3</w:t>
            </w:r>
          </w:p>
        </w:tc>
        <w:tc>
          <w:tcPr>
            <w:tcW w:w="1116" w:type="dxa"/>
          </w:tcPr>
          <w:p w:rsidR="005858C8" w:rsidRPr="00AF21BC" w:rsidRDefault="005858C8" w:rsidP="00D73466">
            <w:pPr>
              <w:jc w:val="center"/>
            </w:pPr>
            <w:r w:rsidRPr="00AF21BC">
              <w:t>3.5</w:t>
            </w:r>
          </w:p>
        </w:tc>
        <w:tc>
          <w:tcPr>
            <w:tcW w:w="1117" w:type="dxa"/>
          </w:tcPr>
          <w:p w:rsidR="005858C8" w:rsidRPr="00AF21BC" w:rsidRDefault="005858C8" w:rsidP="00D73466">
            <w:pPr>
              <w:jc w:val="center"/>
            </w:pPr>
            <w:r w:rsidRPr="00AF21BC">
              <w:t>2.7</w:t>
            </w:r>
          </w:p>
        </w:tc>
        <w:tc>
          <w:tcPr>
            <w:tcW w:w="1116" w:type="dxa"/>
          </w:tcPr>
          <w:p w:rsidR="005858C8" w:rsidRPr="00AF21BC" w:rsidRDefault="005858C8" w:rsidP="00D73466">
            <w:pPr>
              <w:jc w:val="center"/>
            </w:pPr>
            <w:r w:rsidRPr="00AF21BC">
              <w:t>2.3</w:t>
            </w:r>
          </w:p>
        </w:tc>
        <w:tc>
          <w:tcPr>
            <w:tcW w:w="1117" w:type="dxa"/>
          </w:tcPr>
          <w:p w:rsidR="005858C8" w:rsidRDefault="005858C8" w:rsidP="00D73466">
            <w:pPr>
              <w:jc w:val="center"/>
            </w:pPr>
            <w:r w:rsidRPr="00AF21BC">
              <w:t>2.0</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lastRenderedPageBreak/>
              <w:t>Real monthly wage, incl.</w:t>
            </w:r>
          </w:p>
        </w:tc>
        <w:tc>
          <w:tcPr>
            <w:tcW w:w="1116" w:type="dxa"/>
          </w:tcPr>
          <w:p w:rsidR="005858C8" w:rsidRPr="006040EF" w:rsidRDefault="005858C8" w:rsidP="00D73466">
            <w:pPr>
              <w:jc w:val="center"/>
            </w:pPr>
            <w:r w:rsidRPr="006040EF">
              <w:t>4.5</w:t>
            </w:r>
          </w:p>
        </w:tc>
        <w:tc>
          <w:tcPr>
            <w:tcW w:w="1116" w:type="dxa"/>
          </w:tcPr>
          <w:p w:rsidR="005858C8" w:rsidRPr="006040EF" w:rsidRDefault="005858C8" w:rsidP="00D73466">
            <w:pPr>
              <w:jc w:val="center"/>
            </w:pPr>
            <w:r w:rsidRPr="006040EF">
              <w:t>4.0</w:t>
            </w:r>
          </w:p>
        </w:tc>
        <w:tc>
          <w:tcPr>
            <w:tcW w:w="1117" w:type="dxa"/>
          </w:tcPr>
          <w:p w:rsidR="005858C8" w:rsidRPr="006040EF" w:rsidRDefault="005858C8" w:rsidP="00D73466">
            <w:pPr>
              <w:jc w:val="center"/>
            </w:pPr>
            <w:r w:rsidRPr="006040EF">
              <w:t>5.3</w:t>
            </w:r>
          </w:p>
        </w:tc>
        <w:tc>
          <w:tcPr>
            <w:tcW w:w="1116" w:type="dxa"/>
          </w:tcPr>
          <w:p w:rsidR="005858C8" w:rsidRPr="006040EF" w:rsidRDefault="005858C8" w:rsidP="00D73466">
            <w:pPr>
              <w:jc w:val="center"/>
            </w:pPr>
            <w:r w:rsidRPr="006040EF">
              <w:t>3.7</w:t>
            </w:r>
          </w:p>
        </w:tc>
        <w:tc>
          <w:tcPr>
            <w:tcW w:w="1117" w:type="dxa"/>
          </w:tcPr>
          <w:p w:rsidR="005858C8" w:rsidRPr="006040EF" w:rsidRDefault="005858C8" w:rsidP="00D73466">
            <w:pPr>
              <w:jc w:val="center"/>
            </w:pPr>
            <w:r w:rsidRPr="006040EF">
              <w:t>3.6</w:t>
            </w:r>
          </w:p>
        </w:tc>
        <w:tc>
          <w:tcPr>
            <w:tcW w:w="1116" w:type="dxa"/>
          </w:tcPr>
          <w:p w:rsidR="005858C8" w:rsidRPr="006040EF" w:rsidRDefault="005858C8" w:rsidP="00D73466">
            <w:pPr>
              <w:jc w:val="center"/>
            </w:pPr>
            <w:r w:rsidRPr="006040EF">
              <w:t>2.9</w:t>
            </w:r>
          </w:p>
        </w:tc>
        <w:tc>
          <w:tcPr>
            <w:tcW w:w="1116" w:type="dxa"/>
          </w:tcPr>
          <w:p w:rsidR="005858C8" w:rsidRPr="006040EF" w:rsidRDefault="005858C8" w:rsidP="00D73466">
            <w:pPr>
              <w:jc w:val="center"/>
            </w:pPr>
            <w:r w:rsidRPr="006040EF">
              <w:t>2.6</w:t>
            </w:r>
          </w:p>
        </w:tc>
        <w:tc>
          <w:tcPr>
            <w:tcW w:w="1117" w:type="dxa"/>
          </w:tcPr>
          <w:p w:rsidR="005858C8" w:rsidRPr="006040EF" w:rsidRDefault="005858C8" w:rsidP="00D73466">
            <w:pPr>
              <w:jc w:val="center"/>
            </w:pPr>
            <w:r w:rsidRPr="006040EF">
              <w:t>2.1</w:t>
            </w:r>
          </w:p>
        </w:tc>
        <w:tc>
          <w:tcPr>
            <w:tcW w:w="1116" w:type="dxa"/>
          </w:tcPr>
          <w:p w:rsidR="005858C8" w:rsidRPr="006040EF" w:rsidRDefault="005858C8" w:rsidP="00D73466">
            <w:pPr>
              <w:jc w:val="center"/>
            </w:pPr>
            <w:r w:rsidRPr="006040EF">
              <w:t>1.8</w:t>
            </w:r>
          </w:p>
        </w:tc>
        <w:tc>
          <w:tcPr>
            <w:tcW w:w="1117" w:type="dxa"/>
          </w:tcPr>
          <w:p w:rsidR="005858C8" w:rsidRPr="006040EF" w:rsidRDefault="005858C8" w:rsidP="00D73466">
            <w:pPr>
              <w:jc w:val="center"/>
            </w:pPr>
            <w:r w:rsidRPr="006040EF">
              <w:t>1.6</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 agriculture</w:t>
            </w:r>
          </w:p>
        </w:tc>
        <w:tc>
          <w:tcPr>
            <w:tcW w:w="1116" w:type="dxa"/>
          </w:tcPr>
          <w:p w:rsidR="005858C8" w:rsidRPr="006040EF" w:rsidRDefault="005858C8" w:rsidP="00D73466">
            <w:pPr>
              <w:jc w:val="center"/>
            </w:pPr>
            <w:r w:rsidRPr="006040EF">
              <w:t>9.9</w:t>
            </w:r>
          </w:p>
        </w:tc>
        <w:tc>
          <w:tcPr>
            <w:tcW w:w="1116" w:type="dxa"/>
          </w:tcPr>
          <w:p w:rsidR="005858C8" w:rsidRPr="006040EF" w:rsidRDefault="005858C8" w:rsidP="00D73466">
            <w:pPr>
              <w:jc w:val="center"/>
            </w:pPr>
            <w:r w:rsidRPr="006040EF">
              <w:t>12.1</w:t>
            </w:r>
          </w:p>
        </w:tc>
        <w:tc>
          <w:tcPr>
            <w:tcW w:w="1117" w:type="dxa"/>
          </w:tcPr>
          <w:p w:rsidR="005858C8" w:rsidRPr="006040EF" w:rsidRDefault="005858C8" w:rsidP="00D73466">
            <w:pPr>
              <w:jc w:val="center"/>
            </w:pPr>
            <w:r w:rsidRPr="006040EF">
              <w:t>9.1</w:t>
            </w:r>
          </w:p>
        </w:tc>
        <w:tc>
          <w:tcPr>
            <w:tcW w:w="1116" w:type="dxa"/>
          </w:tcPr>
          <w:p w:rsidR="005858C8" w:rsidRPr="006040EF" w:rsidRDefault="005858C8" w:rsidP="00D73466">
            <w:pPr>
              <w:jc w:val="center"/>
            </w:pPr>
            <w:r w:rsidRPr="006040EF">
              <w:t>4.9</w:t>
            </w:r>
          </w:p>
        </w:tc>
        <w:tc>
          <w:tcPr>
            <w:tcW w:w="1117" w:type="dxa"/>
          </w:tcPr>
          <w:p w:rsidR="005858C8" w:rsidRPr="006040EF" w:rsidRDefault="005858C8" w:rsidP="00D73466">
            <w:pPr>
              <w:jc w:val="center"/>
            </w:pPr>
            <w:r w:rsidRPr="006040EF">
              <w:t>3.7</w:t>
            </w:r>
          </w:p>
        </w:tc>
        <w:tc>
          <w:tcPr>
            <w:tcW w:w="1116" w:type="dxa"/>
          </w:tcPr>
          <w:p w:rsidR="005858C8" w:rsidRPr="006040EF" w:rsidRDefault="005858C8" w:rsidP="00D73466">
            <w:pPr>
              <w:jc w:val="center"/>
            </w:pPr>
            <w:r w:rsidRPr="006040EF">
              <w:t>2.9</w:t>
            </w:r>
          </w:p>
        </w:tc>
        <w:tc>
          <w:tcPr>
            <w:tcW w:w="1116" w:type="dxa"/>
          </w:tcPr>
          <w:p w:rsidR="005858C8" w:rsidRPr="006040EF" w:rsidRDefault="005858C8" w:rsidP="00D73466">
            <w:pPr>
              <w:jc w:val="center"/>
            </w:pPr>
            <w:r w:rsidRPr="006040EF">
              <w:t>1.7</w:t>
            </w:r>
          </w:p>
        </w:tc>
        <w:tc>
          <w:tcPr>
            <w:tcW w:w="1117" w:type="dxa"/>
          </w:tcPr>
          <w:p w:rsidR="005858C8" w:rsidRPr="006040EF" w:rsidRDefault="005858C8" w:rsidP="00D73466">
            <w:pPr>
              <w:jc w:val="center"/>
            </w:pPr>
            <w:r w:rsidRPr="006040EF">
              <w:t>1.1</w:t>
            </w:r>
          </w:p>
        </w:tc>
        <w:tc>
          <w:tcPr>
            <w:tcW w:w="1116" w:type="dxa"/>
          </w:tcPr>
          <w:p w:rsidR="005858C8" w:rsidRPr="006040EF" w:rsidRDefault="005858C8" w:rsidP="00D73466">
            <w:pPr>
              <w:jc w:val="center"/>
            </w:pPr>
            <w:r w:rsidRPr="006040EF">
              <w:t>0.8</w:t>
            </w:r>
          </w:p>
        </w:tc>
        <w:tc>
          <w:tcPr>
            <w:tcW w:w="1117" w:type="dxa"/>
          </w:tcPr>
          <w:p w:rsidR="005858C8" w:rsidRPr="006040EF" w:rsidRDefault="005858C8" w:rsidP="00D73466">
            <w:pPr>
              <w:jc w:val="center"/>
            </w:pPr>
            <w:r w:rsidRPr="006040EF">
              <w:t>0.8</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 industry</w:t>
            </w:r>
          </w:p>
        </w:tc>
        <w:tc>
          <w:tcPr>
            <w:tcW w:w="1116" w:type="dxa"/>
          </w:tcPr>
          <w:p w:rsidR="005858C8" w:rsidRPr="006040EF" w:rsidRDefault="005858C8" w:rsidP="00D73466">
            <w:pPr>
              <w:jc w:val="center"/>
            </w:pPr>
            <w:r w:rsidRPr="006040EF">
              <w:t>9.8</w:t>
            </w:r>
          </w:p>
        </w:tc>
        <w:tc>
          <w:tcPr>
            <w:tcW w:w="1116" w:type="dxa"/>
          </w:tcPr>
          <w:p w:rsidR="005858C8" w:rsidRPr="006040EF" w:rsidRDefault="005858C8" w:rsidP="00D73466">
            <w:pPr>
              <w:jc w:val="center"/>
            </w:pPr>
            <w:r w:rsidRPr="006040EF">
              <w:t>11.6</w:t>
            </w:r>
          </w:p>
        </w:tc>
        <w:tc>
          <w:tcPr>
            <w:tcW w:w="1117" w:type="dxa"/>
          </w:tcPr>
          <w:p w:rsidR="005858C8" w:rsidRPr="006040EF" w:rsidRDefault="005858C8" w:rsidP="00D73466">
            <w:pPr>
              <w:jc w:val="center"/>
            </w:pPr>
            <w:r w:rsidRPr="006040EF">
              <w:t>11.2</w:t>
            </w:r>
          </w:p>
        </w:tc>
        <w:tc>
          <w:tcPr>
            <w:tcW w:w="1116" w:type="dxa"/>
          </w:tcPr>
          <w:p w:rsidR="005858C8" w:rsidRPr="006040EF" w:rsidRDefault="005858C8" w:rsidP="00D73466">
            <w:pPr>
              <w:jc w:val="center"/>
            </w:pPr>
            <w:r w:rsidRPr="006040EF">
              <w:t>10.9</w:t>
            </w:r>
          </w:p>
        </w:tc>
        <w:tc>
          <w:tcPr>
            <w:tcW w:w="1117" w:type="dxa"/>
          </w:tcPr>
          <w:p w:rsidR="005858C8" w:rsidRPr="006040EF" w:rsidRDefault="005858C8" w:rsidP="00D73466">
            <w:pPr>
              <w:jc w:val="center"/>
            </w:pPr>
            <w:r w:rsidRPr="006040EF">
              <w:t>9.0</w:t>
            </w:r>
          </w:p>
        </w:tc>
        <w:tc>
          <w:tcPr>
            <w:tcW w:w="1116" w:type="dxa"/>
          </w:tcPr>
          <w:p w:rsidR="005858C8" w:rsidRPr="006040EF" w:rsidRDefault="005858C8" w:rsidP="00D73466">
            <w:pPr>
              <w:jc w:val="center"/>
            </w:pPr>
            <w:r w:rsidRPr="006040EF">
              <w:t>6.8</w:t>
            </w:r>
          </w:p>
        </w:tc>
        <w:tc>
          <w:tcPr>
            <w:tcW w:w="1116" w:type="dxa"/>
          </w:tcPr>
          <w:p w:rsidR="005858C8" w:rsidRPr="006040EF" w:rsidRDefault="005858C8" w:rsidP="00D73466">
            <w:pPr>
              <w:jc w:val="center"/>
            </w:pPr>
            <w:r w:rsidRPr="006040EF">
              <w:t>5.6</w:t>
            </w:r>
          </w:p>
        </w:tc>
        <w:tc>
          <w:tcPr>
            <w:tcW w:w="1117" w:type="dxa"/>
          </w:tcPr>
          <w:p w:rsidR="005858C8" w:rsidRPr="006040EF" w:rsidRDefault="005858C8" w:rsidP="00D73466">
            <w:pPr>
              <w:jc w:val="center"/>
            </w:pPr>
            <w:r w:rsidRPr="006040EF">
              <w:t>4.8</w:t>
            </w:r>
          </w:p>
        </w:tc>
        <w:tc>
          <w:tcPr>
            <w:tcW w:w="1116" w:type="dxa"/>
          </w:tcPr>
          <w:p w:rsidR="005858C8" w:rsidRPr="006040EF" w:rsidRDefault="005858C8" w:rsidP="00D73466">
            <w:pPr>
              <w:jc w:val="center"/>
            </w:pPr>
            <w:r w:rsidRPr="006040EF">
              <w:t>4.4</w:t>
            </w:r>
          </w:p>
        </w:tc>
        <w:tc>
          <w:tcPr>
            <w:tcW w:w="1117" w:type="dxa"/>
          </w:tcPr>
          <w:p w:rsidR="005858C8" w:rsidRDefault="005858C8" w:rsidP="00D73466">
            <w:pPr>
              <w:jc w:val="center"/>
            </w:pPr>
            <w:r w:rsidRPr="006040EF">
              <w:t>4.3</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 construction</w:t>
            </w:r>
          </w:p>
        </w:tc>
        <w:tc>
          <w:tcPr>
            <w:tcW w:w="1116" w:type="dxa"/>
          </w:tcPr>
          <w:p w:rsidR="005858C8" w:rsidRPr="00E54822" w:rsidRDefault="005858C8" w:rsidP="00D73466">
            <w:pPr>
              <w:jc w:val="center"/>
            </w:pPr>
            <w:r w:rsidRPr="00E54822">
              <w:t>8.4</w:t>
            </w:r>
          </w:p>
        </w:tc>
        <w:tc>
          <w:tcPr>
            <w:tcW w:w="1116" w:type="dxa"/>
          </w:tcPr>
          <w:p w:rsidR="005858C8" w:rsidRPr="00E54822" w:rsidRDefault="005858C8" w:rsidP="00D73466">
            <w:pPr>
              <w:jc w:val="center"/>
            </w:pPr>
            <w:r w:rsidRPr="00E54822">
              <w:t>11.1</w:t>
            </w:r>
          </w:p>
        </w:tc>
        <w:tc>
          <w:tcPr>
            <w:tcW w:w="1117" w:type="dxa"/>
          </w:tcPr>
          <w:p w:rsidR="005858C8" w:rsidRPr="00E54822" w:rsidRDefault="005858C8" w:rsidP="00D73466">
            <w:pPr>
              <w:jc w:val="center"/>
            </w:pPr>
            <w:r w:rsidRPr="00E54822">
              <w:t>6.7</w:t>
            </w:r>
          </w:p>
        </w:tc>
        <w:tc>
          <w:tcPr>
            <w:tcW w:w="1116" w:type="dxa"/>
          </w:tcPr>
          <w:p w:rsidR="005858C8" w:rsidRPr="00E54822" w:rsidRDefault="005858C8" w:rsidP="00D73466">
            <w:pPr>
              <w:jc w:val="center"/>
            </w:pPr>
            <w:r w:rsidRPr="00E54822">
              <w:t>8.1</w:t>
            </w:r>
          </w:p>
        </w:tc>
        <w:tc>
          <w:tcPr>
            <w:tcW w:w="1117" w:type="dxa"/>
          </w:tcPr>
          <w:p w:rsidR="005858C8" w:rsidRPr="00E54822" w:rsidRDefault="005858C8" w:rsidP="00D73466">
            <w:pPr>
              <w:jc w:val="center"/>
            </w:pPr>
            <w:r w:rsidRPr="00E54822">
              <w:t>6.3</w:t>
            </w:r>
          </w:p>
        </w:tc>
        <w:tc>
          <w:tcPr>
            <w:tcW w:w="1116" w:type="dxa"/>
          </w:tcPr>
          <w:p w:rsidR="005858C8" w:rsidRPr="00E54822" w:rsidRDefault="005858C8" w:rsidP="00D73466">
            <w:pPr>
              <w:jc w:val="center"/>
            </w:pPr>
            <w:r w:rsidRPr="00E54822">
              <w:t>4.7</w:t>
            </w:r>
          </w:p>
        </w:tc>
        <w:tc>
          <w:tcPr>
            <w:tcW w:w="1116" w:type="dxa"/>
          </w:tcPr>
          <w:p w:rsidR="005858C8" w:rsidRPr="00E54822" w:rsidRDefault="005858C8" w:rsidP="00D73466">
            <w:pPr>
              <w:jc w:val="center"/>
            </w:pPr>
            <w:r w:rsidRPr="00E54822">
              <w:t>3.7</w:t>
            </w:r>
          </w:p>
        </w:tc>
        <w:tc>
          <w:tcPr>
            <w:tcW w:w="1117" w:type="dxa"/>
          </w:tcPr>
          <w:p w:rsidR="005858C8" w:rsidRPr="00E54822" w:rsidRDefault="005858C8" w:rsidP="00D73466">
            <w:pPr>
              <w:jc w:val="center"/>
            </w:pPr>
            <w:r w:rsidRPr="00E54822">
              <w:t>2.9</w:t>
            </w:r>
          </w:p>
        </w:tc>
        <w:tc>
          <w:tcPr>
            <w:tcW w:w="1116" w:type="dxa"/>
          </w:tcPr>
          <w:p w:rsidR="005858C8" w:rsidRPr="00E54822" w:rsidRDefault="005858C8" w:rsidP="00D73466">
            <w:pPr>
              <w:jc w:val="center"/>
            </w:pPr>
            <w:r w:rsidRPr="00E54822">
              <w:t>2.1</w:t>
            </w:r>
          </w:p>
        </w:tc>
        <w:tc>
          <w:tcPr>
            <w:tcW w:w="1117" w:type="dxa"/>
          </w:tcPr>
          <w:p w:rsidR="005858C8" w:rsidRDefault="005858C8" w:rsidP="00D73466">
            <w:pPr>
              <w:jc w:val="center"/>
            </w:pPr>
            <w:r w:rsidRPr="00E54822">
              <w:t>1.6</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 private services</w:t>
            </w:r>
          </w:p>
        </w:tc>
        <w:tc>
          <w:tcPr>
            <w:tcW w:w="1116" w:type="dxa"/>
          </w:tcPr>
          <w:p w:rsidR="005858C8" w:rsidRPr="00C97377" w:rsidRDefault="005858C8" w:rsidP="00D73466">
            <w:pPr>
              <w:jc w:val="center"/>
            </w:pPr>
            <w:r w:rsidRPr="00C97377">
              <w:t>5.5</w:t>
            </w:r>
          </w:p>
        </w:tc>
        <w:tc>
          <w:tcPr>
            <w:tcW w:w="1116" w:type="dxa"/>
          </w:tcPr>
          <w:p w:rsidR="005858C8" w:rsidRPr="00C97377" w:rsidRDefault="005858C8" w:rsidP="00D73466">
            <w:pPr>
              <w:jc w:val="center"/>
            </w:pPr>
            <w:r w:rsidRPr="00C97377">
              <w:t>5.7</w:t>
            </w:r>
          </w:p>
        </w:tc>
        <w:tc>
          <w:tcPr>
            <w:tcW w:w="1117" w:type="dxa"/>
          </w:tcPr>
          <w:p w:rsidR="005858C8" w:rsidRPr="00C97377" w:rsidRDefault="005858C8" w:rsidP="00D73466">
            <w:pPr>
              <w:jc w:val="center"/>
            </w:pPr>
            <w:r w:rsidRPr="00C97377">
              <w:t>5.1</w:t>
            </w:r>
          </w:p>
        </w:tc>
        <w:tc>
          <w:tcPr>
            <w:tcW w:w="1116" w:type="dxa"/>
          </w:tcPr>
          <w:p w:rsidR="005858C8" w:rsidRPr="00C97377" w:rsidRDefault="005858C8" w:rsidP="00D73466">
            <w:pPr>
              <w:jc w:val="center"/>
            </w:pPr>
            <w:r w:rsidRPr="00C97377">
              <w:t>3.7</w:t>
            </w:r>
          </w:p>
        </w:tc>
        <w:tc>
          <w:tcPr>
            <w:tcW w:w="1117" w:type="dxa"/>
          </w:tcPr>
          <w:p w:rsidR="005858C8" w:rsidRPr="00C97377" w:rsidRDefault="005858C8" w:rsidP="00D73466">
            <w:pPr>
              <w:jc w:val="center"/>
            </w:pPr>
            <w:r w:rsidRPr="00C97377">
              <w:t>2.8</w:t>
            </w:r>
          </w:p>
        </w:tc>
        <w:tc>
          <w:tcPr>
            <w:tcW w:w="1116" w:type="dxa"/>
          </w:tcPr>
          <w:p w:rsidR="005858C8" w:rsidRPr="00C97377" w:rsidRDefault="005858C8" w:rsidP="00D73466">
            <w:pPr>
              <w:jc w:val="center"/>
            </w:pPr>
            <w:r w:rsidRPr="00C97377">
              <w:t>1.7</w:t>
            </w:r>
          </w:p>
        </w:tc>
        <w:tc>
          <w:tcPr>
            <w:tcW w:w="1116" w:type="dxa"/>
          </w:tcPr>
          <w:p w:rsidR="005858C8" w:rsidRPr="00C97377" w:rsidRDefault="005858C8" w:rsidP="00D73466">
            <w:pPr>
              <w:jc w:val="center"/>
            </w:pPr>
            <w:r w:rsidRPr="00C97377">
              <w:t>1.1</w:t>
            </w:r>
          </w:p>
        </w:tc>
        <w:tc>
          <w:tcPr>
            <w:tcW w:w="1117" w:type="dxa"/>
          </w:tcPr>
          <w:p w:rsidR="005858C8" w:rsidRPr="00C97377" w:rsidRDefault="005858C8" w:rsidP="00D73466">
            <w:pPr>
              <w:jc w:val="center"/>
            </w:pPr>
            <w:r w:rsidRPr="00C97377">
              <w:t>0.9</w:t>
            </w:r>
          </w:p>
        </w:tc>
        <w:tc>
          <w:tcPr>
            <w:tcW w:w="1116" w:type="dxa"/>
          </w:tcPr>
          <w:p w:rsidR="005858C8" w:rsidRPr="00C97377" w:rsidRDefault="005858C8" w:rsidP="00D73466">
            <w:pPr>
              <w:jc w:val="center"/>
            </w:pPr>
            <w:r w:rsidRPr="00C97377">
              <w:t>0.7</w:t>
            </w:r>
          </w:p>
        </w:tc>
        <w:tc>
          <w:tcPr>
            <w:tcW w:w="1117" w:type="dxa"/>
          </w:tcPr>
          <w:p w:rsidR="005858C8" w:rsidRDefault="005858C8" w:rsidP="00D73466">
            <w:pPr>
              <w:jc w:val="center"/>
            </w:pPr>
            <w:r w:rsidRPr="00C97377">
              <w:t>0.6</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 public services</w:t>
            </w:r>
          </w:p>
        </w:tc>
        <w:tc>
          <w:tcPr>
            <w:tcW w:w="1116" w:type="dxa"/>
          </w:tcPr>
          <w:p w:rsidR="005858C8" w:rsidRPr="006F28FB" w:rsidRDefault="005858C8" w:rsidP="00D73466">
            <w:pPr>
              <w:jc w:val="center"/>
            </w:pPr>
            <w:r w:rsidRPr="006F28FB">
              <w:t>4.7</w:t>
            </w:r>
          </w:p>
        </w:tc>
        <w:tc>
          <w:tcPr>
            <w:tcW w:w="1116" w:type="dxa"/>
          </w:tcPr>
          <w:p w:rsidR="005858C8" w:rsidRPr="006F28FB" w:rsidRDefault="005858C8" w:rsidP="00D73466">
            <w:pPr>
              <w:jc w:val="center"/>
            </w:pPr>
            <w:r w:rsidRPr="006F28FB">
              <w:t>5.3</w:t>
            </w:r>
          </w:p>
        </w:tc>
        <w:tc>
          <w:tcPr>
            <w:tcW w:w="1117" w:type="dxa"/>
          </w:tcPr>
          <w:p w:rsidR="005858C8" w:rsidRPr="006F28FB" w:rsidRDefault="005858C8" w:rsidP="00D73466">
            <w:pPr>
              <w:jc w:val="center"/>
            </w:pPr>
            <w:r w:rsidRPr="006F28FB">
              <w:t>4.9</w:t>
            </w:r>
          </w:p>
        </w:tc>
        <w:tc>
          <w:tcPr>
            <w:tcW w:w="1116" w:type="dxa"/>
          </w:tcPr>
          <w:p w:rsidR="005858C8" w:rsidRPr="006F28FB" w:rsidRDefault="005858C8" w:rsidP="00D73466">
            <w:pPr>
              <w:jc w:val="center"/>
            </w:pPr>
            <w:r w:rsidRPr="006F28FB">
              <w:t>4.4</w:t>
            </w:r>
          </w:p>
        </w:tc>
        <w:tc>
          <w:tcPr>
            <w:tcW w:w="1117" w:type="dxa"/>
          </w:tcPr>
          <w:p w:rsidR="005858C8" w:rsidRPr="006F28FB" w:rsidRDefault="005858C8" w:rsidP="00D73466">
            <w:pPr>
              <w:jc w:val="center"/>
            </w:pPr>
            <w:r w:rsidRPr="006F28FB">
              <w:t>3.7</w:t>
            </w:r>
          </w:p>
        </w:tc>
        <w:tc>
          <w:tcPr>
            <w:tcW w:w="1116" w:type="dxa"/>
          </w:tcPr>
          <w:p w:rsidR="005858C8" w:rsidRPr="006F28FB" w:rsidRDefault="005858C8" w:rsidP="00D73466">
            <w:pPr>
              <w:jc w:val="center"/>
            </w:pPr>
            <w:r w:rsidRPr="006F28FB">
              <w:t>2.8</w:t>
            </w:r>
          </w:p>
        </w:tc>
        <w:tc>
          <w:tcPr>
            <w:tcW w:w="1116" w:type="dxa"/>
          </w:tcPr>
          <w:p w:rsidR="005858C8" w:rsidRPr="006F28FB" w:rsidRDefault="005858C8" w:rsidP="00D73466">
            <w:pPr>
              <w:jc w:val="center"/>
            </w:pPr>
            <w:r w:rsidRPr="006F28FB">
              <w:t>2.0</w:t>
            </w:r>
          </w:p>
        </w:tc>
        <w:tc>
          <w:tcPr>
            <w:tcW w:w="1117" w:type="dxa"/>
          </w:tcPr>
          <w:p w:rsidR="005858C8" w:rsidRPr="006F28FB" w:rsidRDefault="005858C8" w:rsidP="00D73466">
            <w:pPr>
              <w:jc w:val="center"/>
            </w:pPr>
            <w:r w:rsidRPr="006F28FB">
              <w:t>1.5</w:t>
            </w:r>
          </w:p>
        </w:tc>
        <w:tc>
          <w:tcPr>
            <w:tcW w:w="1116" w:type="dxa"/>
          </w:tcPr>
          <w:p w:rsidR="005858C8" w:rsidRPr="006F28FB" w:rsidRDefault="005858C8" w:rsidP="00D73466">
            <w:pPr>
              <w:jc w:val="center"/>
            </w:pPr>
            <w:r w:rsidRPr="006F28FB">
              <w:t>1.2</w:t>
            </w:r>
          </w:p>
        </w:tc>
        <w:tc>
          <w:tcPr>
            <w:tcW w:w="1117" w:type="dxa"/>
          </w:tcPr>
          <w:p w:rsidR="005858C8" w:rsidRDefault="005858C8" w:rsidP="00D73466">
            <w:pPr>
              <w:jc w:val="center"/>
            </w:pPr>
            <w:r w:rsidRPr="006F28FB">
              <w:t>0.9</w:t>
            </w:r>
          </w:p>
        </w:tc>
      </w:tr>
      <w:tr w:rsidR="005858C8" w:rsidRPr="00D31979" w:rsidTr="00D73466">
        <w:tc>
          <w:tcPr>
            <w:tcW w:w="3011" w:type="dxa"/>
          </w:tcPr>
          <w:p w:rsidR="005858C8" w:rsidRPr="00D31979" w:rsidRDefault="005858C8" w:rsidP="00D73466">
            <w:pPr>
              <w:jc w:val="left"/>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Labour productivity, incl.</w:t>
            </w:r>
          </w:p>
        </w:tc>
        <w:tc>
          <w:tcPr>
            <w:tcW w:w="1116" w:type="dxa"/>
          </w:tcPr>
          <w:p w:rsidR="005858C8" w:rsidRPr="00AC2F01" w:rsidRDefault="005858C8" w:rsidP="00D73466">
            <w:pPr>
              <w:jc w:val="center"/>
            </w:pPr>
            <w:r w:rsidRPr="00AC2F01">
              <w:t>6.6</w:t>
            </w:r>
          </w:p>
        </w:tc>
        <w:tc>
          <w:tcPr>
            <w:tcW w:w="1116" w:type="dxa"/>
          </w:tcPr>
          <w:p w:rsidR="005858C8" w:rsidRPr="00AC2F01" w:rsidRDefault="005858C8" w:rsidP="00D73466">
            <w:pPr>
              <w:jc w:val="center"/>
            </w:pPr>
            <w:r w:rsidRPr="00AC2F01">
              <w:t>5.1</w:t>
            </w:r>
          </w:p>
        </w:tc>
        <w:tc>
          <w:tcPr>
            <w:tcW w:w="1117" w:type="dxa"/>
          </w:tcPr>
          <w:p w:rsidR="005858C8" w:rsidRPr="00AC2F01" w:rsidRDefault="005858C8" w:rsidP="00D73466">
            <w:pPr>
              <w:jc w:val="center"/>
            </w:pPr>
            <w:r w:rsidRPr="00AC2F01">
              <w:t>4.9</w:t>
            </w:r>
          </w:p>
        </w:tc>
        <w:tc>
          <w:tcPr>
            <w:tcW w:w="1116" w:type="dxa"/>
          </w:tcPr>
          <w:p w:rsidR="005858C8" w:rsidRPr="00AC2F01" w:rsidRDefault="005858C8" w:rsidP="00D73466">
            <w:pPr>
              <w:jc w:val="center"/>
            </w:pPr>
            <w:r w:rsidRPr="00AC2F01">
              <w:t>3.8</w:t>
            </w:r>
          </w:p>
        </w:tc>
        <w:tc>
          <w:tcPr>
            <w:tcW w:w="1117" w:type="dxa"/>
          </w:tcPr>
          <w:p w:rsidR="005858C8" w:rsidRPr="00AC2F01" w:rsidRDefault="005858C8" w:rsidP="00D73466">
            <w:pPr>
              <w:jc w:val="center"/>
            </w:pPr>
            <w:r w:rsidRPr="00AC2F01">
              <w:t>2.7</w:t>
            </w:r>
          </w:p>
        </w:tc>
        <w:tc>
          <w:tcPr>
            <w:tcW w:w="1116" w:type="dxa"/>
          </w:tcPr>
          <w:p w:rsidR="005858C8" w:rsidRPr="00AC2F01" w:rsidRDefault="005858C8" w:rsidP="00D73466">
            <w:pPr>
              <w:jc w:val="center"/>
            </w:pPr>
            <w:r w:rsidRPr="00AC2F01">
              <w:t>2.1</w:t>
            </w:r>
          </w:p>
        </w:tc>
        <w:tc>
          <w:tcPr>
            <w:tcW w:w="1116" w:type="dxa"/>
          </w:tcPr>
          <w:p w:rsidR="005858C8" w:rsidRPr="00AC2F01" w:rsidRDefault="005858C8" w:rsidP="00D73466">
            <w:pPr>
              <w:jc w:val="center"/>
            </w:pPr>
            <w:r w:rsidRPr="00AC2F01">
              <w:t>1.7</w:t>
            </w:r>
          </w:p>
        </w:tc>
        <w:tc>
          <w:tcPr>
            <w:tcW w:w="1117" w:type="dxa"/>
          </w:tcPr>
          <w:p w:rsidR="005858C8" w:rsidRPr="00AC2F01" w:rsidRDefault="005858C8" w:rsidP="00D73466">
            <w:pPr>
              <w:jc w:val="center"/>
            </w:pPr>
            <w:r w:rsidRPr="00AC2F01">
              <w:t>1.4</w:t>
            </w:r>
          </w:p>
        </w:tc>
        <w:tc>
          <w:tcPr>
            <w:tcW w:w="1116" w:type="dxa"/>
          </w:tcPr>
          <w:p w:rsidR="005858C8" w:rsidRPr="00AC2F01" w:rsidRDefault="005858C8" w:rsidP="00D73466">
            <w:pPr>
              <w:jc w:val="center"/>
            </w:pPr>
            <w:r w:rsidRPr="00AC2F01">
              <w:t>1.3</w:t>
            </w:r>
          </w:p>
        </w:tc>
        <w:tc>
          <w:tcPr>
            <w:tcW w:w="1117" w:type="dxa"/>
          </w:tcPr>
          <w:p w:rsidR="005858C8" w:rsidRPr="00AC2F01" w:rsidRDefault="005858C8" w:rsidP="00D73466">
            <w:pPr>
              <w:jc w:val="center"/>
            </w:pPr>
            <w:r w:rsidRPr="00AC2F01">
              <w:t>1.1</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 agriculture</w:t>
            </w:r>
          </w:p>
        </w:tc>
        <w:tc>
          <w:tcPr>
            <w:tcW w:w="1116" w:type="dxa"/>
          </w:tcPr>
          <w:p w:rsidR="005858C8" w:rsidRPr="00AC2F01" w:rsidRDefault="005858C8" w:rsidP="00D73466">
            <w:pPr>
              <w:jc w:val="center"/>
            </w:pPr>
            <w:r w:rsidRPr="00AC2F01">
              <w:t>5.7</w:t>
            </w:r>
          </w:p>
        </w:tc>
        <w:tc>
          <w:tcPr>
            <w:tcW w:w="1116" w:type="dxa"/>
          </w:tcPr>
          <w:p w:rsidR="005858C8" w:rsidRPr="00AC2F01" w:rsidRDefault="005858C8" w:rsidP="00D73466">
            <w:pPr>
              <w:jc w:val="center"/>
            </w:pPr>
            <w:r w:rsidRPr="00AC2F01">
              <w:t>5.8</w:t>
            </w:r>
          </w:p>
        </w:tc>
        <w:tc>
          <w:tcPr>
            <w:tcW w:w="1117" w:type="dxa"/>
          </w:tcPr>
          <w:p w:rsidR="005858C8" w:rsidRPr="00AC2F01" w:rsidRDefault="005858C8" w:rsidP="00D73466">
            <w:pPr>
              <w:jc w:val="center"/>
            </w:pPr>
            <w:r w:rsidRPr="00AC2F01">
              <w:t>2.4</w:t>
            </w:r>
          </w:p>
        </w:tc>
        <w:tc>
          <w:tcPr>
            <w:tcW w:w="1116" w:type="dxa"/>
          </w:tcPr>
          <w:p w:rsidR="005858C8" w:rsidRPr="00AC2F01" w:rsidRDefault="005858C8" w:rsidP="00D73466">
            <w:pPr>
              <w:jc w:val="center"/>
            </w:pPr>
            <w:r w:rsidRPr="00AC2F01">
              <w:t>-0.5</w:t>
            </w:r>
          </w:p>
        </w:tc>
        <w:tc>
          <w:tcPr>
            <w:tcW w:w="1117" w:type="dxa"/>
          </w:tcPr>
          <w:p w:rsidR="005858C8" w:rsidRPr="00AC2F01" w:rsidRDefault="005858C8" w:rsidP="00D73466">
            <w:pPr>
              <w:jc w:val="center"/>
            </w:pPr>
            <w:r w:rsidRPr="00AC2F01">
              <w:t>0.9</w:t>
            </w:r>
          </w:p>
        </w:tc>
        <w:tc>
          <w:tcPr>
            <w:tcW w:w="1116" w:type="dxa"/>
          </w:tcPr>
          <w:p w:rsidR="005858C8" w:rsidRPr="00AC2F01" w:rsidRDefault="005858C8" w:rsidP="00D73466">
            <w:pPr>
              <w:jc w:val="center"/>
            </w:pPr>
            <w:r w:rsidRPr="00AC2F01">
              <w:t>1.0</w:t>
            </w:r>
          </w:p>
        </w:tc>
        <w:tc>
          <w:tcPr>
            <w:tcW w:w="1116" w:type="dxa"/>
          </w:tcPr>
          <w:p w:rsidR="005858C8" w:rsidRPr="00AC2F01" w:rsidRDefault="005858C8" w:rsidP="00D73466">
            <w:pPr>
              <w:jc w:val="center"/>
            </w:pPr>
            <w:r w:rsidRPr="00AC2F01">
              <w:t>0.5</w:t>
            </w:r>
          </w:p>
        </w:tc>
        <w:tc>
          <w:tcPr>
            <w:tcW w:w="1117" w:type="dxa"/>
          </w:tcPr>
          <w:p w:rsidR="005858C8" w:rsidRPr="00AC2F01" w:rsidRDefault="005858C8" w:rsidP="00D73466">
            <w:pPr>
              <w:jc w:val="center"/>
            </w:pPr>
            <w:r w:rsidRPr="00AC2F01">
              <w:t>0.3</w:t>
            </w:r>
          </w:p>
        </w:tc>
        <w:tc>
          <w:tcPr>
            <w:tcW w:w="1116" w:type="dxa"/>
          </w:tcPr>
          <w:p w:rsidR="005858C8" w:rsidRPr="00AC2F01" w:rsidRDefault="005858C8" w:rsidP="00D73466">
            <w:pPr>
              <w:jc w:val="center"/>
            </w:pPr>
            <w:r w:rsidRPr="00AC2F01">
              <w:t>0.2</w:t>
            </w:r>
          </w:p>
        </w:tc>
        <w:tc>
          <w:tcPr>
            <w:tcW w:w="1117" w:type="dxa"/>
          </w:tcPr>
          <w:p w:rsidR="005858C8" w:rsidRPr="00AC2F01" w:rsidRDefault="005858C8" w:rsidP="00D73466">
            <w:pPr>
              <w:jc w:val="center"/>
            </w:pPr>
            <w:r w:rsidRPr="00AC2F01">
              <w:t>0.2</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 industry</w:t>
            </w:r>
          </w:p>
        </w:tc>
        <w:tc>
          <w:tcPr>
            <w:tcW w:w="1116" w:type="dxa"/>
          </w:tcPr>
          <w:p w:rsidR="005858C8" w:rsidRPr="00AC2F01" w:rsidRDefault="005858C8" w:rsidP="00D73466">
            <w:pPr>
              <w:jc w:val="center"/>
            </w:pPr>
            <w:r w:rsidRPr="00AC2F01">
              <w:t>10.8</w:t>
            </w:r>
          </w:p>
        </w:tc>
        <w:tc>
          <w:tcPr>
            <w:tcW w:w="1116" w:type="dxa"/>
          </w:tcPr>
          <w:p w:rsidR="005858C8" w:rsidRPr="00AC2F01" w:rsidRDefault="005858C8" w:rsidP="00D73466">
            <w:pPr>
              <w:jc w:val="center"/>
            </w:pPr>
            <w:r w:rsidRPr="00AC2F01">
              <w:t>5.2</w:t>
            </w:r>
          </w:p>
        </w:tc>
        <w:tc>
          <w:tcPr>
            <w:tcW w:w="1117" w:type="dxa"/>
          </w:tcPr>
          <w:p w:rsidR="005858C8" w:rsidRPr="00AC2F01" w:rsidRDefault="005858C8" w:rsidP="00D73466">
            <w:pPr>
              <w:jc w:val="center"/>
            </w:pPr>
            <w:r w:rsidRPr="00AC2F01">
              <w:t>7.0</w:t>
            </w:r>
          </w:p>
        </w:tc>
        <w:tc>
          <w:tcPr>
            <w:tcW w:w="1116" w:type="dxa"/>
          </w:tcPr>
          <w:p w:rsidR="005858C8" w:rsidRPr="00AC2F01" w:rsidRDefault="005858C8" w:rsidP="00D73466">
            <w:pPr>
              <w:jc w:val="center"/>
            </w:pPr>
            <w:r w:rsidRPr="00AC2F01">
              <w:t>4.8</w:t>
            </w:r>
          </w:p>
        </w:tc>
        <w:tc>
          <w:tcPr>
            <w:tcW w:w="1117" w:type="dxa"/>
          </w:tcPr>
          <w:p w:rsidR="005858C8" w:rsidRPr="00AC2F01" w:rsidRDefault="005858C8" w:rsidP="00D73466">
            <w:pPr>
              <w:jc w:val="center"/>
            </w:pPr>
            <w:r w:rsidRPr="00AC2F01">
              <w:t>2.8</w:t>
            </w:r>
          </w:p>
        </w:tc>
        <w:tc>
          <w:tcPr>
            <w:tcW w:w="1116" w:type="dxa"/>
          </w:tcPr>
          <w:p w:rsidR="005858C8" w:rsidRPr="00AC2F01" w:rsidRDefault="005858C8" w:rsidP="00D73466">
            <w:pPr>
              <w:jc w:val="center"/>
            </w:pPr>
            <w:r w:rsidRPr="00AC2F01">
              <w:t>2.8</w:t>
            </w:r>
          </w:p>
        </w:tc>
        <w:tc>
          <w:tcPr>
            <w:tcW w:w="1116" w:type="dxa"/>
          </w:tcPr>
          <w:p w:rsidR="005858C8" w:rsidRPr="00AC2F01" w:rsidRDefault="005858C8" w:rsidP="00D73466">
            <w:pPr>
              <w:jc w:val="center"/>
            </w:pPr>
            <w:r w:rsidRPr="00AC2F01">
              <w:t>3.0</w:t>
            </w:r>
          </w:p>
        </w:tc>
        <w:tc>
          <w:tcPr>
            <w:tcW w:w="1117" w:type="dxa"/>
          </w:tcPr>
          <w:p w:rsidR="005858C8" w:rsidRPr="00AC2F01" w:rsidRDefault="005858C8" w:rsidP="00D73466">
            <w:pPr>
              <w:jc w:val="center"/>
            </w:pPr>
            <w:r w:rsidRPr="00AC2F01">
              <w:t>3.2</w:t>
            </w:r>
          </w:p>
        </w:tc>
        <w:tc>
          <w:tcPr>
            <w:tcW w:w="1116" w:type="dxa"/>
          </w:tcPr>
          <w:p w:rsidR="005858C8" w:rsidRPr="00AC2F01" w:rsidRDefault="005858C8" w:rsidP="00D73466">
            <w:pPr>
              <w:jc w:val="center"/>
            </w:pPr>
            <w:r w:rsidRPr="00AC2F01">
              <w:t>3.4</w:t>
            </w:r>
          </w:p>
        </w:tc>
        <w:tc>
          <w:tcPr>
            <w:tcW w:w="1117" w:type="dxa"/>
          </w:tcPr>
          <w:p w:rsidR="005858C8" w:rsidRDefault="005858C8" w:rsidP="00D73466">
            <w:pPr>
              <w:jc w:val="center"/>
            </w:pPr>
            <w:r w:rsidRPr="00AC2F01">
              <w:t>3.5</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 construction</w:t>
            </w:r>
          </w:p>
        </w:tc>
        <w:tc>
          <w:tcPr>
            <w:tcW w:w="1116" w:type="dxa"/>
          </w:tcPr>
          <w:p w:rsidR="005858C8" w:rsidRPr="00362C8D" w:rsidRDefault="005858C8" w:rsidP="00D73466">
            <w:pPr>
              <w:jc w:val="center"/>
            </w:pPr>
            <w:r w:rsidRPr="00362C8D">
              <w:t>8.5</w:t>
            </w:r>
          </w:p>
        </w:tc>
        <w:tc>
          <w:tcPr>
            <w:tcW w:w="1116" w:type="dxa"/>
          </w:tcPr>
          <w:p w:rsidR="005858C8" w:rsidRPr="00362C8D" w:rsidRDefault="005858C8" w:rsidP="00D73466">
            <w:pPr>
              <w:jc w:val="center"/>
            </w:pPr>
            <w:r w:rsidRPr="00362C8D">
              <w:t>9.4</w:t>
            </w:r>
          </w:p>
        </w:tc>
        <w:tc>
          <w:tcPr>
            <w:tcW w:w="1117" w:type="dxa"/>
          </w:tcPr>
          <w:p w:rsidR="005858C8" w:rsidRPr="00362C8D" w:rsidRDefault="005858C8" w:rsidP="00D73466">
            <w:pPr>
              <w:jc w:val="center"/>
            </w:pPr>
            <w:r w:rsidRPr="00362C8D">
              <w:t>7.3</w:t>
            </w:r>
          </w:p>
        </w:tc>
        <w:tc>
          <w:tcPr>
            <w:tcW w:w="1116" w:type="dxa"/>
          </w:tcPr>
          <w:p w:rsidR="005858C8" w:rsidRPr="00362C8D" w:rsidRDefault="005858C8" w:rsidP="00D73466">
            <w:pPr>
              <w:jc w:val="center"/>
            </w:pPr>
            <w:r w:rsidRPr="00362C8D">
              <w:t>8.6</w:t>
            </w:r>
          </w:p>
        </w:tc>
        <w:tc>
          <w:tcPr>
            <w:tcW w:w="1117" w:type="dxa"/>
          </w:tcPr>
          <w:p w:rsidR="005858C8" w:rsidRPr="00362C8D" w:rsidRDefault="005858C8" w:rsidP="00D73466">
            <w:pPr>
              <w:jc w:val="center"/>
            </w:pPr>
            <w:r w:rsidRPr="00362C8D">
              <w:t>6.7</w:t>
            </w:r>
          </w:p>
        </w:tc>
        <w:tc>
          <w:tcPr>
            <w:tcW w:w="1116" w:type="dxa"/>
          </w:tcPr>
          <w:p w:rsidR="005858C8" w:rsidRPr="00362C8D" w:rsidRDefault="005858C8" w:rsidP="00D73466">
            <w:pPr>
              <w:jc w:val="center"/>
            </w:pPr>
            <w:r w:rsidRPr="00362C8D">
              <w:t>5.2</w:t>
            </w:r>
          </w:p>
        </w:tc>
        <w:tc>
          <w:tcPr>
            <w:tcW w:w="1116" w:type="dxa"/>
          </w:tcPr>
          <w:p w:rsidR="005858C8" w:rsidRPr="00362C8D" w:rsidRDefault="005858C8" w:rsidP="00D73466">
            <w:pPr>
              <w:jc w:val="center"/>
            </w:pPr>
            <w:r w:rsidRPr="00362C8D">
              <w:t>3.9</w:t>
            </w:r>
          </w:p>
        </w:tc>
        <w:tc>
          <w:tcPr>
            <w:tcW w:w="1117" w:type="dxa"/>
          </w:tcPr>
          <w:p w:rsidR="005858C8" w:rsidRPr="00362C8D" w:rsidRDefault="005858C8" w:rsidP="00D73466">
            <w:pPr>
              <w:jc w:val="center"/>
            </w:pPr>
            <w:r w:rsidRPr="00362C8D">
              <w:t>2.8</w:t>
            </w:r>
          </w:p>
        </w:tc>
        <w:tc>
          <w:tcPr>
            <w:tcW w:w="1116" w:type="dxa"/>
          </w:tcPr>
          <w:p w:rsidR="005858C8" w:rsidRPr="00362C8D" w:rsidRDefault="005858C8" w:rsidP="00D73466">
            <w:pPr>
              <w:jc w:val="center"/>
            </w:pPr>
            <w:r w:rsidRPr="00362C8D">
              <w:t>2.0</w:t>
            </w:r>
          </w:p>
        </w:tc>
        <w:tc>
          <w:tcPr>
            <w:tcW w:w="1117" w:type="dxa"/>
          </w:tcPr>
          <w:p w:rsidR="005858C8" w:rsidRDefault="005858C8" w:rsidP="00D73466">
            <w:pPr>
              <w:jc w:val="center"/>
            </w:pPr>
            <w:r w:rsidRPr="00362C8D">
              <w:t>1.5</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 private services</w:t>
            </w:r>
          </w:p>
        </w:tc>
        <w:tc>
          <w:tcPr>
            <w:tcW w:w="1116" w:type="dxa"/>
          </w:tcPr>
          <w:p w:rsidR="005858C8" w:rsidRPr="00AB501D" w:rsidRDefault="005858C8" w:rsidP="00D73466">
            <w:pPr>
              <w:jc w:val="center"/>
            </w:pPr>
            <w:r w:rsidRPr="00AB501D">
              <w:t>5.7</w:t>
            </w:r>
          </w:p>
        </w:tc>
        <w:tc>
          <w:tcPr>
            <w:tcW w:w="1116" w:type="dxa"/>
          </w:tcPr>
          <w:p w:rsidR="005858C8" w:rsidRPr="00AB501D" w:rsidRDefault="005858C8" w:rsidP="00D73466">
            <w:pPr>
              <w:jc w:val="center"/>
            </w:pPr>
            <w:r w:rsidRPr="00AB501D">
              <w:t>4.9</w:t>
            </w:r>
          </w:p>
        </w:tc>
        <w:tc>
          <w:tcPr>
            <w:tcW w:w="1117" w:type="dxa"/>
          </w:tcPr>
          <w:p w:rsidR="005858C8" w:rsidRPr="00AB501D" w:rsidRDefault="005858C8" w:rsidP="00D73466">
            <w:pPr>
              <w:jc w:val="center"/>
            </w:pPr>
            <w:r w:rsidRPr="00AB501D">
              <w:t>4.3</w:t>
            </w:r>
          </w:p>
        </w:tc>
        <w:tc>
          <w:tcPr>
            <w:tcW w:w="1116" w:type="dxa"/>
          </w:tcPr>
          <w:p w:rsidR="005858C8" w:rsidRPr="00AB501D" w:rsidRDefault="005858C8" w:rsidP="00D73466">
            <w:pPr>
              <w:jc w:val="center"/>
            </w:pPr>
            <w:r w:rsidRPr="00AB501D">
              <w:t>3.6</w:t>
            </w:r>
          </w:p>
        </w:tc>
        <w:tc>
          <w:tcPr>
            <w:tcW w:w="1117" w:type="dxa"/>
          </w:tcPr>
          <w:p w:rsidR="005858C8" w:rsidRPr="00AB501D" w:rsidRDefault="005858C8" w:rsidP="00D73466">
            <w:pPr>
              <w:jc w:val="center"/>
            </w:pPr>
            <w:r w:rsidRPr="00AB501D">
              <w:t>2.6</w:t>
            </w:r>
          </w:p>
        </w:tc>
        <w:tc>
          <w:tcPr>
            <w:tcW w:w="1116" w:type="dxa"/>
          </w:tcPr>
          <w:p w:rsidR="005858C8" w:rsidRPr="00AB501D" w:rsidRDefault="005858C8" w:rsidP="00D73466">
            <w:pPr>
              <w:jc w:val="center"/>
            </w:pPr>
            <w:r w:rsidRPr="00AB501D">
              <w:t>1.9</w:t>
            </w:r>
          </w:p>
        </w:tc>
        <w:tc>
          <w:tcPr>
            <w:tcW w:w="1116" w:type="dxa"/>
          </w:tcPr>
          <w:p w:rsidR="005858C8" w:rsidRPr="00AB501D" w:rsidRDefault="005858C8" w:rsidP="00D73466">
            <w:pPr>
              <w:jc w:val="center"/>
            </w:pPr>
            <w:r w:rsidRPr="00AB501D">
              <w:t>1.3</w:t>
            </w:r>
          </w:p>
        </w:tc>
        <w:tc>
          <w:tcPr>
            <w:tcW w:w="1117" w:type="dxa"/>
          </w:tcPr>
          <w:p w:rsidR="005858C8" w:rsidRPr="00AB501D" w:rsidRDefault="005858C8" w:rsidP="00D73466">
            <w:pPr>
              <w:jc w:val="center"/>
            </w:pPr>
            <w:r w:rsidRPr="00AB501D">
              <w:t>1.0</w:t>
            </w:r>
          </w:p>
        </w:tc>
        <w:tc>
          <w:tcPr>
            <w:tcW w:w="1116" w:type="dxa"/>
          </w:tcPr>
          <w:p w:rsidR="005858C8" w:rsidRPr="00AB501D" w:rsidRDefault="005858C8" w:rsidP="00D73466">
            <w:pPr>
              <w:jc w:val="center"/>
            </w:pPr>
            <w:r w:rsidRPr="00AB501D">
              <w:t>0.7</w:t>
            </w:r>
          </w:p>
        </w:tc>
        <w:tc>
          <w:tcPr>
            <w:tcW w:w="1117" w:type="dxa"/>
          </w:tcPr>
          <w:p w:rsidR="005858C8" w:rsidRDefault="005858C8" w:rsidP="00D73466">
            <w:pPr>
              <w:jc w:val="center"/>
            </w:pPr>
            <w:r w:rsidRPr="00AB501D">
              <w:t>0.6</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In public services</w:t>
            </w:r>
          </w:p>
        </w:tc>
        <w:tc>
          <w:tcPr>
            <w:tcW w:w="1116" w:type="dxa"/>
          </w:tcPr>
          <w:p w:rsidR="005858C8" w:rsidRPr="00F92E9A" w:rsidRDefault="005858C8" w:rsidP="00D73466">
            <w:pPr>
              <w:jc w:val="center"/>
            </w:pPr>
            <w:r w:rsidRPr="00F92E9A">
              <w:t>1.4</w:t>
            </w:r>
          </w:p>
        </w:tc>
        <w:tc>
          <w:tcPr>
            <w:tcW w:w="1116" w:type="dxa"/>
          </w:tcPr>
          <w:p w:rsidR="005858C8" w:rsidRPr="00F92E9A" w:rsidRDefault="005858C8" w:rsidP="00D73466">
            <w:pPr>
              <w:jc w:val="center"/>
            </w:pPr>
            <w:r w:rsidRPr="00F92E9A">
              <w:t>1.6</w:t>
            </w:r>
          </w:p>
        </w:tc>
        <w:tc>
          <w:tcPr>
            <w:tcW w:w="1117" w:type="dxa"/>
          </w:tcPr>
          <w:p w:rsidR="005858C8" w:rsidRPr="00F92E9A" w:rsidRDefault="005858C8" w:rsidP="00D73466">
            <w:pPr>
              <w:jc w:val="center"/>
            </w:pPr>
            <w:r w:rsidRPr="00F92E9A">
              <w:t>1.5</w:t>
            </w:r>
          </w:p>
        </w:tc>
        <w:tc>
          <w:tcPr>
            <w:tcW w:w="1116" w:type="dxa"/>
          </w:tcPr>
          <w:p w:rsidR="005858C8" w:rsidRPr="00F92E9A" w:rsidRDefault="005858C8" w:rsidP="00D73466">
            <w:pPr>
              <w:jc w:val="center"/>
            </w:pPr>
            <w:r w:rsidRPr="00F92E9A">
              <w:t>1.2</w:t>
            </w:r>
          </w:p>
        </w:tc>
        <w:tc>
          <w:tcPr>
            <w:tcW w:w="1117" w:type="dxa"/>
          </w:tcPr>
          <w:p w:rsidR="005858C8" w:rsidRPr="00F92E9A" w:rsidRDefault="005858C8" w:rsidP="00D73466">
            <w:pPr>
              <w:jc w:val="center"/>
            </w:pPr>
            <w:r w:rsidRPr="00F92E9A">
              <w:t>0.8</w:t>
            </w:r>
          </w:p>
        </w:tc>
        <w:tc>
          <w:tcPr>
            <w:tcW w:w="1116" w:type="dxa"/>
          </w:tcPr>
          <w:p w:rsidR="005858C8" w:rsidRPr="00F92E9A" w:rsidRDefault="005858C8" w:rsidP="00D73466">
            <w:pPr>
              <w:jc w:val="center"/>
            </w:pPr>
            <w:r w:rsidRPr="00F92E9A">
              <w:t>0.4</w:t>
            </w:r>
          </w:p>
        </w:tc>
        <w:tc>
          <w:tcPr>
            <w:tcW w:w="1116" w:type="dxa"/>
          </w:tcPr>
          <w:p w:rsidR="005858C8" w:rsidRPr="00F92E9A" w:rsidRDefault="005858C8" w:rsidP="00D73466">
            <w:pPr>
              <w:jc w:val="center"/>
            </w:pPr>
            <w:r w:rsidRPr="00F92E9A">
              <w:t>0.2</w:t>
            </w:r>
          </w:p>
        </w:tc>
        <w:tc>
          <w:tcPr>
            <w:tcW w:w="1117" w:type="dxa"/>
          </w:tcPr>
          <w:p w:rsidR="005858C8" w:rsidRPr="00F92E9A" w:rsidRDefault="005858C8" w:rsidP="00D73466">
            <w:pPr>
              <w:jc w:val="center"/>
            </w:pPr>
            <w:r w:rsidRPr="00F92E9A">
              <w:t>0.2</w:t>
            </w:r>
          </w:p>
        </w:tc>
        <w:tc>
          <w:tcPr>
            <w:tcW w:w="1116" w:type="dxa"/>
          </w:tcPr>
          <w:p w:rsidR="005858C8" w:rsidRPr="00F92E9A" w:rsidRDefault="005858C8" w:rsidP="00D73466">
            <w:pPr>
              <w:jc w:val="center"/>
            </w:pPr>
            <w:r w:rsidRPr="00F92E9A">
              <w:t>0.2</w:t>
            </w:r>
          </w:p>
        </w:tc>
        <w:tc>
          <w:tcPr>
            <w:tcW w:w="1117" w:type="dxa"/>
          </w:tcPr>
          <w:p w:rsidR="005858C8" w:rsidRDefault="005858C8" w:rsidP="00D73466">
            <w:pPr>
              <w:jc w:val="center"/>
            </w:pPr>
            <w:r w:rsidRPr="00F92E9A">
              <w:t>0.2</w:t>
            </w:r>
          </w:p>
        </w:tc>
      </w:tr>
      <w:tr w:rsidR="005858C8" w:rsidRPr="00D31979" w:rsidTr="00D73466">
        <w:tc>
          <w:tcPr>
            <w:tcW w:w="3011" w:type="dxa"/>
          </w:tcPr>
          <w:p w:rsidR="005858C8" w:rsidRPr="00D31979" w:rsidRDefault="005858C8" w:rsidP="00D73466">
            <w:pPr>
              <w:jc w:val="left"/>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c>
          <w:tcPr>
            <w:tcW w:w="1116" w:type="dxa"/>
            <w:vAlign w:val="center"/>
          </w:tcPr>
          <w:p w:rsidR="005858C8" w:rsidRPr="00D31979" w:rsidRDefault="005858C8" w:rsidP="00D73466">
            <w:pPr>
              <w:jc w:val="center"/>
              <w:rPr>
                <w:rFonts w:cs="Times New Roman"/>
                <w:lang w:val="en-GB"/>
              </w:rPr>
            </w:pPr>
          </w:p>
        </w:tc>
        <w:tc>
          <w:tcPr>
            <w:tcW w:w="1117" w:type="dxa"/>
            <w:vAlign w:val="center"/>
          </w:tcPr>
          <w:p w:rsidR="005858C8" w:rsidRPr="00D31979" w:rsidRDefault="005858C8" w:rsidP="00D73466">
            <w:pPr>
              <w:jc w:val="center"/>
              <w:rPr>
                <w:rFonts w:cs="Times New Roman"/>
                <w:lang w:val="en-GB"/>
              </w:rPr>
            </w:pP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Tax revenue of the government budget</w:t>
            </w:r>
          </w:p>
        </w:tc>
        <w:tc>
          <w:tcPr>
            <w:tcW w:w="1116" w:type="dxa"/>
          </w:tcPr>
          <w:p w:rsidR="005858C8" w:rsidRPr="00BF3742" w:rsidRDefault="005858C8" w:rsidP="00D73466">
            <w:pPr>
              <w:jc w:val="center"/>
            </w:pPr>
            <w:r w:rsidRPr="00BF3742">
              <w:t>5.2</w:t>
            </w:r>
          </w:p>
        </w:tc>
        <w:tc>
          <w:tcPr>
            <w:tcW w:w="1116" w:type="dxa"/>
          </w:tcPr>
          <w:p w:rsidR="005858C8" w:rsidRPr="00BF3742" w:rsidRDefault="005858C8" w:rsidP="00D73466">
            <w:pPr>
              <w:jc w:val="center"/>
            </w:pPr>
            <w:r w:rsidRPr="00BF3742">
              <w:t>3.9</w:t>
            </w:r>
          </w:p>
        </w:tc>
        <w:tc>
          <w:tcPr>
            <w:tcW w:w="1117" w:type="dxa"/>
          </w:tcPr>
          <w:p w:rsidR="005858C8" w:rsidRPr="00BF3742" w:rsidRDefault="005858C8" w:rsidP="00D73466">
            <w:pPr>
              <w:jc w:val="center"/>
            </w:pPr>
            <w:r w:rsidRPr="00BF3742">
              <w:t>3.8</w:t>
            </w:r>
          </w:p>
        </w:tc>
        <w:tc>
          <w:tcPr>
            <w:tcW w:w="1116" w:type="dxa"/>
          </w:tcPr>
          <w:p w:rsidR="005858C8" w:rsidRPr="00BF3742" w:rsidRDefault="005858C8" w:rsidP="00D73466">
            <w:pPr>
              <w:jc w:val="center"/>
            </w:pPr>
            <w:r w:rsidRPr="00BF3742">
              <w:t>2.4</w:t>
            </w:r>
          </w:p>
        </w:tc>
        <w:tc>
          <w:tcPr>
            <w:tcW w:w="1117" w:type="dxa"/>
          </w:tcPr>
          <w:p w:rsidR="005858C8" w:rsidRPr="00BF3742" w:rsidRDefault="005858C8" w:rsidP="00D73466">
            <w:pPr>
              <w:jc w:val="center"/>
            </w:pPr>
            <w:r w:rsidRPr="00BF3742">
              <w:t>1.3</w:t>
            </w:r>
          </w:p>
        </w:tc>
        <w:tc>
          <w:tcPr>
            <w:tcW w:w="1116" w:type="dxa"/>
          </w:tcPr>
          <w:p w:rsidR="005858C8" w:rsidRPr="00BF3742" w:rsidRDefault="005858C8" w:rsidP="00D73466">
            <w:pPr>
              <w:jc w:val="center"/>
            </w:pPr>
            <w:r w:rsidRPr="00BF3742">
              <w:t>0.5</w:t>
            </w:r>
          </w:p>
        </w:tc>
        <w:tc>
          <w:tcPr>
            <w:tcW w:w="1116" w:type="dxa"/>
          </w:tcPr>
          <w:p w:rsidR="005858C8" w:rsidRPr="00BF3742" w:rsidRDefault="005858C8" w:rsidP="00D73466">
            <w:pPr>
              <w:jc w:val="center"/>
            </w:pPr>
            <w:r w:rsidRPr="00BF3742">
              <w:t>0.3</w:t>
            </w:r>
          </w:p>
        </w:tc>
        <w:tc>
          <w:tcPr>
            <w:tcW w:w="1117" w:type="dxa"/>
          </w:tcPr>
          <w:p w:rsidR="005858C8" w:rsidRPr="00BF3742" w:rsidRDefault="005858C8" w:rsidP="00D73466">
            <w:pPr>
              <w:jc w:val="center"/>
            </w:pPr>
            <w:r w:rsidRPr="00BF3742">
              <w:t>0.2</w:t>
            </w:r>
          </w:p>
        </w:tc>
        <w:tc>
          <w:tcPr>
            <w:tcW w:w="1116" w:type="dxa"/>
          </w:tcPr>
          <w:p w:rsidR="005858C8" w:rsidRPr="00BF3742" w:rsidRDefault="005858C8" w:rsidP="00D73466">
            <w:pPr>
              <w:jc w:val="center"/>
            </w:pPr>
            <w:r w:rsidRPr="00BF3742">
              <w:t>0.3</w:t>
            </w:r>
          </w:p>
        </w:tc>
        <w:tc>
          <w:tcPr>
            <w:tcW w:w="1117" w:type="dxa"/>
          </w:tcPr>
          <w:p w:rsidR="005858C8" w:rsidRPr="00BF3742" w:rsidRDefault="005858C8" w:rsidP="00D73466">
            <w:pPr>
              <w:jc w:val="center"/>
            </w:pPr>
            <w:r w:rsidRPr="00BF3742">
              <w:t>0.5</w:t>
            </w: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Non-tax revenue of the government budget</w:t>
            </w:r>
          </w:p>
        </w:tc>
        <w:tc>
          <w:tcPr>
            <w:tcW w:w="1116" w:type="dxa"/>
          </w:tcPr>
          <w:p w:rsidR="005858C8" w:rsidRPr="00BF3742" w:rsidRDefault="005858C8" w:rsidP="00D73466">
            <w:pPr>
              <w:jc w:val="center"/>
            </w:pPr>
            <w:r w:rsidRPr="00BF3742">
              <w:t>5.2</w:t>
            </w:r>
          </w:p>
        </w:tc>
        <w:tc>
          <w:tcPr>
            <w:tcW w:w="1116" w:type="dxa"/>
          </w:tcPr>
          <w:p w:rsidR="005858C8" w:rsidRPr="00BF3742" w:rsidRDefault="005858C8" w:rsidP="00D73466">
            <w:pPr>
              <w:jc w:val="center"/>
            </w:pPr>
            <w:r w:rsidRPr="00BF3742">
              <w:t>3.8</w:t>
            </w:r>
          </w:p>
        </w:tc>
        <w:tc>
          <w:tcPr>
            <w:tcW w:w="1117" w:type="dxa"/>
          </w:tcPr>
          <w:p w:rsidR="005858C8" w:rsidRPr="00BF3742" w:rsidRDefault="005858C8" w:rsidP="00D73466">
            <w:pPr>
              <w:jc w:val="center"/>
            </w:pPr>
            <w:r w:rsidRPr="00BF3742">
              <w:t>3.8</w:t>
            </w:r>
          </w:p>
        </w:tc>
        <w:tc>
          <w:tcPr>
            <w:tcW w:w="1116" w:type="dxa"/>
          </w:tcPr>
          <w:p w:rsidR="005858C8" w:rsidRPr="00BF3742" w:rsidRDefault="005858C8" w:rsidP="00D73466">
            <w:pPr>
              <w:jc w:val="center"/>
            </w:pPr>
            <w:r w:rsidRPr="00BF3742">
              <w:t>2.2</w:t>
            </w:r>
          </w:p>
        </w:tc>
        <w:tc>
          <w:tcPr>
            <w:tcW w:w="1117" w:type="dxa"/>
          </w:tcPr>
          <w:p w:rsidR="005858C8" w:rsidRPr="00BF3742" w:rsidRDefault="005858C8" w:rsidP="00D73466">
            <w:pPr>
              <w:jc w:val="center"/>
            </w:pPr>
            <w:r w:rsidRPr="00BF3742">
              <w:t>1.1</w:t>
            </w:r>
          </w:p>
        </w:tc>
        <w:tc>
          <w:tcPr>
            <w:tcW w:w="1116" w:type="dxa"/>
          </w:tcPr>
          <w:p w:rsidR="005858C8" w:rsidRPr="00BF3742" w:rsidRDefault="005858C8" w:rsidP="00D73466">
            <w:pPr>
              <w:jc w:val="center"/>
            </w:pPr>
            <w:r w:rsidRPr="00BF3742">
              <w:t>0.3</w:t>
            </w:r>
          </w:p>
        </w:tc>
        <w:tc>
          <w:tcPr>
            <w:tcW w:w="1116" w:type="dxa"/>
          </w:tcPr>
          <w:p w:rsidR="005858C8" w:rsidRPr="00BF3742" w:rsidRDefault="005858C8" w:rsidP="00D73466">
            <w:pPr>
              <w:jc w:val="center"/>
            </w:pPr>
            <w:r w:rsidRPr="00BF3742">
              <w:t>0.2</w:t>
            </w:r>
          </w:p>
        </w:tc>
        <w:tc>
          <w:tcPr>
            <w:tcW w:w="1117" w:type="dxa"/>
          </w:tcPr>
          <w:p w:rsidR="005858C8" w:rsidRPr="00BF3742" w:rsidRDefault="005858C8" w:rsidP="00D73466">
            <w:pPr>
              <w:jc w:val="center"/>
            </w:pPr>
            <w:r w:rsidRPr="00BF3742">
              <w:t>0.2</w:t>
            </w:r>
          </w:p>
        </w:tc>
        <w:tc>
          <w:tcPr>
            <w:tcW w:w="1116" w:type="dxa"/>
          </w:tcPr>
          <w:p w:rsidR="005858C8" w:rsidRPr="00BF3742" w:rsidRDefault="005858C8" w:rsidP="00D73466">
            <w:pPr>
              <w:jc w:val="center"/>
            </w:pPr>
            <w:r w:rsidRPr="00BF3742">
              <w:t>0.2</w:t>
            </w:r>
          </w:p>
        </w:tc>
        <w:tc>
          <w:tcPr>
            <w:tcW w:w="1117" w:type="dxa"/>
          </w:tcPr>
          <w:p w:rsidR="005858C8" w:rsidRDefault="005858C8" w:rsidP="00D73466">
            <w:pPr>
              <w:jc w:val="center"/>
            </w:pPr>
            <w:r w:rsidRPr="00BF3742">
              <w:t>0.6</w:t>
            </w:r>
          </w:p>
        </w:tc>
      </w:tr>
      <w:tr w:rsidR="005858C8" w:rsidRPr="00D31979" w:rsidTr="00D73466">
        <w:tc>
          <w:tcPr>
            <w:tcW w:w="3011" w:type="dxa"/>
          </w:tcPr>
          <w:p w:rsidR="005858C8" w:rsidRPr="00D31979" w:rsidRDefault="005858C8" w:rsidP="00D73466">
            <w:pPr>
              <w:jc w:val="left"/>
              <w:rPr>
                <w:rFonts w:cs="Times New Roman"/>
                <w:lang w:val="en-GB"/>
              </w:rPr>
            </w:pPr>
          </w:p>
        </w:tc>
        <w:tc>
          <w:tcPr>
            <w:tcW w:w="1116"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c>
          <w:tcPr>
            <w:tcW w:w="1116" w:type="dxa"/>
            <w:vAlign w:val="center"/>
          </w:tcPr>
          <w:p w:rsidR="005858C8" w:rsidRPr="00675BAB" w:rsidRDefault="005858C8" w:rsidP="00D73466">
            <w:pPr>
              <w:jc w:val="center"/>
              <w:rPr>
                <w:rFonts w:cs="Times New Roman"/>
                <w:lang w:val="lv-LV"/>
              </w:rPr>
            </w:pPr>
          </w:p>
        </w:tc>
        <w:tc>
          <w:tcPr>
            <w:tcW w:w="1117" w:type="dxa"/>
            <w:vAlign w:val="center"/>
          </w:tcPr>
          <w:p w:rsidR="005858C8" w:rsidRPr="00675BAB" w:rsidRDefault="005858C8" w:rsidP="00D73466">
            <w:pPr>
              <w:jc w:val="center"/>
              <w:rPr>
                <w:rFonts w:cs="Times New Roman"/>
                <w:lang w:val="lv-LV"/>
              </w:rPr>
            </w:pPr>
          </w:p>
        </w:tc>
      </w:tr>
      <w:tr w:rsidR="005858C8" w:rsidRPr="00D31979" w:rsidTr="00D73466">
        <w:tc>
          <w:tcPr>
            <w:tcW w:w="3011" w:type="dxa"/>
          </w:tcPr>
          <w:p w:rsidR="005858C8" w:rsidRPr="00D31979" w:rsidRDefault="005858C8" w:rsidP="00D73466">
            <w:pPr>
              <w:jc w:val="left"/>
              <w:rPr>
                <w:rFonts w:cs="Times New Roman"/>
                <w:lang w:val="en-GB"/>
              </w:rPr>
            </w:pPr>
            <w:r w:rsidRPr="00D31979">
              <w:rPr>
                <w:rFonts w:cs="Times New Roman"/>
                <w:lang w:val="en-GB"/>
              </w:rPr>
              <w:t>Consumer price index</w:t>
            </w:r>
          </w:p>
        </w:tc>
        <w:tc>
          <w:tcPr>
            <w:tcW w:w="1116" w:type="dxa"/>
          </w:tcPr>
          <w:p w:rsidR="005858C8" w:rsidRPr="00187A3C" w:rsidRDefault="005858C8" w:rsidP="00D73466">
            <w:pPr>
              <w:jc w:val="center"/>
            </w:pPr>
            <w:r w:rsidRPr="00187A3C">
              <w:t>1.6</w:t>
            </w:r>
          </w:p>
        </w:tc>
        <w:tc>
          <w:tcPr>
            <w:tcW w:w="1116" w:type="dxa"/>
          </w:tcPr>
          <w:p w:rsidR="005858C8" w:rsidRPr="00187A3C" w:rsidRDefault="005858C8" w:rsidP="00D73466">
            <w:pPr>
              <w:jc w:val="center"/>
            </w:pPr>
            <w:r w:rsidRPr="00187A3C">
              <w:t>1.9</w:t>
            </w:r>
          </w:p>
        </w:tc>
        <w:tc>
          <w:tcPr>
            <w:tcW w:w="1117" w:type="dxa"/>
          </w:tcPr>
          <w:p w:rsidR="005858C8" w:rsidRPr="00187A3C" w:rsidRDefault="005858C8" w:rsidP="00D73466">
            <w:pPr>
              <w:jc w:val="center"/>
            </w:pPr>
            <w:r w:rsidRPr="00187A3C">
              <w:t>2.5</w:t>
            </w:r>
          </w:p>
        </w:tc>
        <w:tc>
          <w:tcPr>
            <w:tcW w:w="1116" w:type="dxa"/>
          </w:tcPr>
          <w:p w:rsidR="005858C8" w:rsidRPr="00187A3C" w:rsidRDefault="005858C8" w:rsidP="00D73466">
            <w:pPr>
              <w:jc w:val="center"/>
            </w:pPr>
            <w:r w:rsidRPr="00187A3C">
              <w:t>2.4</w:t>
            </w:r>
          </w:p>
        </w:tc>
        <w:tc>
          <w:tcPr>
            <w:tcW w:w="1117" w:type="dxa"/>
          </w:tcPr>
          <w:p w:rsidR="005858C8" w:rsidRPr="00187A3C" w:rsidRDefault="005858C8" w:rsidP="00D73466">
            <w:pPr>
              <w:jc w:val="center"/>
            </w:pPr>
            <w:r w:rsidRPr="00187A3C">
              <w:t>1.9</w:t>
            </w:r>
          </w:p>
        </w:tc>
        <w:tc>
          <w:tcPr>
            <w:tcW w:w="1116" w:type="dxa"/>
          </w:tcPr>
          <w:p w:rsidR="005858C8" w:rsidRPr="00187A3C" w:rsidRDefault="005858C8" w:rsidP="00D73466">
            <w:pPr>
              <w:jc w:val="center"/>
            </w:pPr>
            <w:r w:rsidRPr="00187A3C">
              <w:t>1.3</w:t>
            </w:r>
          </w:p>
        </w:tc>
        <w:tc>
          <w:tcPr>
            <w:tcW w:w="1116" w:type="dxa"/>
          </w:tcPr>
          <w:p w:rsidR="005858C8" w:rsidRPr="00187A3C" w:rsidRDefault="005858C8" w:rsidP="00D73466">
            <w:pPr>
              <w:jc w:val="center"/>
            </w:pPr>
            <w:r w:rsidRPr="00187A3C">
              <w:t>0.9</w:t>
            </w:r>
          </w:p>
        </w:tc>
        <w:tc>
          <w:tcPr>
            <w:tcW w:w="1117" w:type="dxa"/>
          </w:tcPr>
          <w:p w:rsidR="005858C8" w:rsidRPr="00187A3C" w:rsidRDefault="005858C8" w:rsidP="00D73466">
            <w:pPr>
              <w:jc w:val="center"/>
            </w:pPr>
            <w:r w:rsidRPr="00187A3C">
              <w:t>0.6</w:t>
            </w:r>
          </w:p>
        </w:tc>
        <w:tc>
          <w:tcPr>
            <w:tcW w:w="1116" w:type="dxa"/>
          </w:tcPr>
          <w:p w:rsidR="005858C8" w:rsidRPr="00187A3C" w:rsidRDefault="005858C8" w:rsidP="00D73466">
            <w:pPr>
              <w:jc w:val="center"/>
            </w:pPr>
            <w:r w:rsidRPr="00187A3C">
              <w:t>0.4</w:t>
            </w:r>
          </w:p>
        </w:tc>
        <w:tc>
          <w:tcPr>
            <w:tcW w:w="1117" w:type="dxa"/>
          </w:tcPr>
          <w:p w:rsidR="005858C8" w:rsidRDefault="005858C8" w:rsidP="00D73466">
            <w:pPr>
              <w:jc w:val="center"/>
            </w:pPr>
            <w:r w:rsidRPr="00187A3C">
              <w:t>0.4</w:t>
            </w:r>
          </w:p>
        </w:tc>
      </w:tr>
    </w:tbl>
    <w:p w:rsidR="005858C8" w:rsidRPr="00D31979" w:rsidRDefault="005858C8" w:rsidP="005858C8">
      <w:pPr>
        <w:spacing w:after="0"/>
        <w:rPr>
          <w:lang w:val="en-GB"/>
        </w:rPr>
      </w:pPr>
      <w:r w:rsidRPr="00D31979">
        <w:rPr>
          <w:lang w:val="en-GB"/>
        </w:rPr>
        <w:t>* Impact calculated as in equation (3.</w:t>
      </w:r>
      <w:r>
        <w:rPr>
          <w:lang w:val="en-GB"/>
        </w:rPr>
        <w:t>3</w:t>
      </w:r>
      <w:r w:rsidRPr="00D31979">
        <w:rPr>
          <w:lang w:val="en-GB"/>
        </w:rPr>
        <w:t>)</w:t>
      </w:r>
    </w:p>
    <w:p w:rsidR="005858C8" w:rsidRDefault="005858C8" w:rsidP="005858C8">
      <w:pPr>
        <w:rPr>
          <w:i/>
          <w:lang w:val="en-GB"/>
        </w:rPr>
      </w:pPr>
      <w:r w:rsidRPr="00D31979">
        <w:rPr>
          <w:i/>
          <w:lang w:val="en-GB"/>
        </w:rPr>
        <w:t>Source: authors’ calculations</w:t>
      </w:r>
    </w:p>
    <w:p w:rsidR="005858C8" w:rsidRDefault="005858C8" w:rsidP="005858C8">
      <w:pPr>
        <w:jc w:val="left"/>
        <w:rPr>
          <w:i/>
          <w:lang w:val="en-GB"/>
        </w:rPr>
      </w:pPr>
      <w:r>
        <w:rPr>
          <w:i/>
          <w:lang w:val="en-GB"/>
        </w:rPr>
        <w:br w:type="page"/>
      </w:r>
    </w:p>
    <w:p w:rsidR="005858C8" w:rsidRPr="00D31979" w:rsidRDefault="005858C8" w:rsidP="005858C8">
      <w:pPr>
        <w:keepNext/>
        <w:keepLines/>
        <w:rPr>
          <w:b/>
          <w:lang w:val="en-GB"/>
        </w:rPr>
      </w:pPr>
      <w:r w:rsidRPr="00D31979">
        <w:rPr>
          <w:b/>
          <w:lang w:val="en-GB"/>
        </w:rPr>
        <w:lastRenderedPageBreak/>
        <w:t xml:space="preserve">Table </w:t>
      </w:r>
      <w:r w:rsidR="00622A8D">
        <w:rPr>
          <w:b/>
          <w:lang w:val="en-GB"/>
        </w:rPr>
        <w:t>P.3</w:t>
      </w:r>
      <w:r w:rsidRPr="00D31979">
        <w:rPr>
          <w:b/>
          <w:lang w:val="en-GB"/>
        </w:rPr>
        <w:t xml:space="preserve">: Impact of funds of the </w:t>
      </w:r>
      <w:r>
        <w:rPr>
          <w:b/>
          <w:lang w:val="en-GB"/>
        </w:rPr>
        <w:t xml:space="preserve">2004-2006 </w:t>
      </w:r>
      <w:r w:rsidRPr="00D31979">
        <w:rPr>
          <w:b/>
          <w:lang w:val="en-GB"/>
        </w:rPr>
        <w:t>planning period on GDP in 2002-2011, assuming 30% crowding out.*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98"/>
        <w:gridCol w:w="1037"/>
        <w:gridCol w:w="1038"/>
        <w:gridCol w:w="1038"/>
        <w:gridCol w:w="1037"/>
        <w:gridCol w:w="1038"/>
        <w:gridCol w:w="1038"/>
        <w:gridCol w:w="1037"/>
        <w:gridCol w:w="1038"/>
        <w:gridCol w:w="1038"/>
        <w:gridCol w:w="1038"/>
      </w:tblGrid>
      <w:tr w:rsidR="005858C8" w:rsidRPr="00D31979" w:rsidTr="00D73466">
        <w:trPr>
          <w:tblHeader/>
        </w:trPr>
        <w:tc>
          <w:tcPr>
            <w:tcW w:w="3798" w:type="dxa"/>
            <w:shd w:val="clear" w:color="auto" w:fill="DBE5F1" w:themeFill="accent1" w:themeFillTint="33"/>
          </w:tcPr>
          <w:p w:rsidR="005858C8" w:rsidRPr="00D31979" w:rsidRDefault="005858C8" w:rsidP="00D73466">
            <w:pPr>
              <w:keepNext/>
              <w:keepLines/>
              <w:rPr>
                <w:rFonts w:cs="Times New Roman"/>
                <w:b/>
                <w:lang w:val="en-GB"/>
              </w:rPr>
            </w:pPr>
          </w:p>
        </w:tc>
        <w:tc>
          <w:tcPr>
            <w:tcW w:w="1037"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2002</w:t>
            </w:r>
          </w:p>
        </w:tc>
        <w:tc>
          <w:tcPr>
            <w:tcW w:w="1038"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2003</w:t>
            </w:r>
          </w:p>
        </w:tc>
        <w:tc>
          <w:tcPr>
            <w:tcW w:w="1038"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2004</w:t>
            </w:r>
          </w:p>
        </w:tc>
        <w:tc>
          <w:tcPr>
            <w:tcW w:w="1037"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2005</w:t>
            </w:r>
          </w:p>
        </w:tc>
        <w:tc>
          <w:tcPr>
            <w:tcW w:w="1038"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2006</w:t>
            </w:r>
          </w:p>
        </w:tc>
        <w:tc>
          <w:tcPr>
            <w:tcW w:w="1038"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2007</w:t>
            </w:r>
          </w:p>
        </w:tc>
        <w:tc>
          <w:tcPr>
            <w:tcW w:w="1037"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2008</w:t>
            </w:r>
          </w:p>
        </w:tc>
        <w:tc>
          <w:tcPr>
            <w:tcW w:w="1038"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2009</w:t>
            </w:r>
          </w:p>
        </w:tc>
        <w:tc>
          <w:tcPr>
            <w:tcW w:w="1038"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2010</w:t>
            </w:r>
          </w:p>
        </w:tc>
        <w:tc>
          <w:tcPr>
            <w:tcW w:w="1038"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2011</w:t>
            </w:r>
          </w:p>
        </w:tc>
      </w:tr>
      <w:tr w:rsidR="005858C8" w:rsidRPr="00D31979" w:rsidTr="00D73466">
        <w:tc>
          <w:tcPr>
            <w:tcW w:w="3798" w:type="dxa"/>
          </w:tcPr>
          <w:p w:rsidR="005858C8" w:rsidRPr="00D31979" w:rsidRDefault="005858C8" w:rsidP="00D73466">
            <w:pPr>
              <w:keepNext/>
              <w:keepLines/>
              <w:jc w:val="left"/>
              <w:rPr>
                <w:rFonts w:cs="Times New Roman"/>
                <w:b/>
                <w:lang w:val="en-GB"/>
              </w:rPr>
            </w:pPr>
            <w:r w:rsidRPr="00D31979">
              <w:rPr>
                <w:rFonts w:cs="Times New Roman"/>
                <w:b/>
                <w:lang w:val="en-GB"/>
              </w:rPr>
              <w:t>Return on funds of the first planning period, incl.</w:t>
            </w:r>
          </w:p>
        </w:tc>
        <w:tc>
          <w:tcPr>
            <w:tcW w:w="1037" w:type="dxa"/>
          </w:tcPr>
          <w:p w:rsidR="005858C8" w:rsidRPr="001F17DD" w:rsidRDefault="005858C8" w:rsidP="00D73466">
            <w:pPr>
              <w:spacing w:after="200" w:line="276" w:lineRule="auto"/>
              <w:jc w:val="center"/>
              <w:rPr>
                <w:lang w:val="lv-LV"/>
              </w:rPr>
            </w:pPr>
            <w:r w:rsidRPr="001F17DD">
              <w:rPr>
                <w:lang w:val="lv-LV"/>
              </w:rPr>
              <w:t>0.00</w:t>
            </w:r>
          </w:p>
        </w:tc>
        <w:tc>
          <w:tcPr>
            <w:tcW w:w="1038" w:type="dxa"/>
          </w:tcPr>
          <w:p w:rsidR="005858C8" w:rsidRPr="001F17DD" w:rsidRDefault="005858C8" w:rsidP="00D73466">
            <w:pPr>
              <w:spacing w:after="200" w:line="276" w:lineRule="auto"/>
              <w:jc w:val="center"/>
              <w:rPr>
                <w:lang w:val="lv-LV"/>
              </w:rPr>
            </w:pPr>
            <w:r w:rsidRPr="001F17DD">
              <w:rPr>
                <w:lang w:val="lv-LV"/>
              </w:rPr>
              <w:t>0.00</w:t>
            </w:r>
          </w:p>
        </w:tc>
        <w:tc>
          <w:tcPr>
            <w:tcW w:w="1038" w:type="dxa"/>
          </w:tcPr>
          <w:p w:rsidR="005858C8" w:rsidRPr="001F17DD" w:rsidRDefault="005858C8" w:rsidP="00D73466">
            <w:pPr>
              <w:spacing w:after="200" w:line="276" w:lineRule="auto"/>
              <w:jc w:val="center"/>
              <w:rPr>
                <w:lang w:val="lv-LV"/>
              </w:rPr>
            </w:pPr>
            <w:r w:rsidRPr="001F17DD">
              <w:rPr>
                <w:lang w:val="lv-LV"/>
              </w:rPr>
              <w:t>0.01</w:t>
            </w:r>
          </w:p>
        </w:tc>
        <w:tc>
          <w:tcPr>
            <w:tcW w:w="1037" w:type="dxa"/>
          </w:tcPr>
          <w:p w:rsidR="005858C8" w:rsidRPr="001F17DD" w:rsidRDefault="005858C8" w:rsidP="00D73466">
            <w:pPr>
              <w:spacing w:after="200" w:line="276" w:lineRule="auto"/>
              <w:jc w:val="center"/>
              <w:rPr>
                <w:lang w:val="lv-LV"/>
              </w:rPr>
            </w:pPr>
            <w:r w:rsidRPr="001F17DD">
              <w:rPr>
                <w:lang w:val="lv-LV"/>
              </w:rPr>
              <w:t>0.41</w:t>
            </w:r>
          </w:p>
        </w:tc>
        <w:tc>
          <w:tcPr>
            <w:tcW w:w="1038" w:type="dxa"/>
          </w:tcPr>
          <w:p w:rsidR="005858C8" w:rsidRPr="001F17DD" w:rsidRDefault="005858C8" w:rsidP="00D73466">
            <w:pPr>
              <w:spacing w:after="200" w:line="276" w:lineRule="auto"/>
              <w:jc w:val="center"/>
              <w:rPr>
                <w:lang w:val="lv-LV"/>
              </w:rPr>
            </w:pPr>
            <w:r w:rsidRPr="001F17DD">
              <w:rPr>
                <w:lang w:val="lv-LV"/>
              </w:rPr>
              <w:t>1.12</w:t>
            </w:r>
          </w:p>
        </w:tc>
        <w:tc>
          <w:tcPr>
            <w:tcW w:w="1038" w:type="dxa"/>
          </w:tcPr>
          <w:p w:rsidR="005858C8" w:rsidRPr="001F17DD" w:rsidRDefault="005858C8" w:rsidP="00D73466">
            <w:pPr>
              <w:spacing w:after="200" w:line="276" w:lineRule="auto"/>
              <w:jc w:val="center"/>
              <w:rPr>
                <w:lang w:val="lv-LV"/>
              </w:rPr>
            </w:pPr>
            <w:r w:rsidRPr="001F17DD">
              <w:rPr>
                <w:lang w:val="lv-LV"/>
              </w:rPr>
              <w:t>1.48</w:t>
            </w:r>
          </w:p>
        </w:tc>
        <w:tc>
          <w:tcPr>
            <w:tcW w:w="1037" w:type="dxa"/>
          </w:tcPr>
          <w:p w:rsidR="005858C8" w:rsidRPr="00653D82" w:rsidRDefault="005858C8" w:rsidP="00D73466">
            <w:pPr>
              <w:jc w:val="center"/>
            </w:pPr>
            <w:r w:rsidRPr="001F17DD">
              <w:rPr>
                <w:lang w:val="lv-LV"/>
              </w:rPr>
              <w:t>1.</w:t>
            </w:r>
            <w:r w:rsidRPr="00653D82">
              <w:t>59</w:t>
            </w:r>
          </w:p>
        </w:tc>
        <w:tc>
          <w:tcPr>
            <w:tcW w:w="1038" w:type="dxa"/>
          </w:tcPr>
          <w:p w:rsidR="005858C8" w:rsidRPr="00653D82" w:rsidRDefault="005858C8" w:rsidP="00D73466">
            <w:pPr>
              <w:jc w:val="center"/>
            </w:pPr>
            <w:r w:rsidRPr="00653D82">
              <w:t>1.20</w:t>
            </w:r>
          </w:p>
        </w:tc>
        <w:tc>
          <w:tcPr>
            <w:tcW w:w="1038" w:type="dxa"/>
          </w:tcPr>
          <w:p w:rsidR="005858C8" w:rsidRPr="00653D82" w:rsidRDefault="005858C8" w:rsidP="00D73466">
            <w:pPr>
              <w:jc w:val="center"/>
            </w:pPr>
            <w:r w:rsidRPr="00653D82">
              <w:t>0.86</w:t>
            </w:r>
          </w:p>
        </w:tc>
        <w:tc>
          <w:tcPr>
            <w:tcW w:w="1038" w:type="dxa"/>
          </w:tcPr>
          <w:p w:rsidR="005858C8" w:rsidRDefault="005858C8" w:rsidP="00D73466">
            <w:pPr>
              <w:jc w:val="center"/>
            </w:pPr>
            <w:r w:rsidRPr="00653D82">
              <w:t>0.67</w:t>
            </w:r>
          </w:p>
        </w:tc>
      </w:tr>
      <w:tr w:rsidR="005858C8" w:rsidRPr="00D31979" w:rsidTr="00D73466">
        <w:tc>
          <w:tcPr>
            <w:tcW w:w="3798" w:type="dxa"/>
          </w:tcPr>
          <w:p w:rsidR="005858C8" w:rsidRPr="00D31979" w:rsidRDefault="005858C8" w:rsidP="00D73466">
            <w:pPr>
              <w:keepNext/>
              <w:rPr>
                <w:lang w:val="en-GB"/>
              </w:rPr>
            </w:pPr>
            <w:r w:rsidRPr="00D31979">
              <w:rPr>
                <w:lang w:val="en-GB"/>
              </w:rPr>
              <w:t xml:space="preserve"> 1.1. Promotion of territorial cohesion</w:t>
            </w:r>
          </w:p>
        </w:tc>
        <w:tc>
          <w:tcPr>
            <w:tcW w:w="1037" w:type="dxa"/>
          </w:tcPr>
          <w:p w:rsidR="005858C8" w:rsidRPr="00AA72E4" w:rsidRDefault="005858C8" w:rsidP="00D73466">
            <w:pPr>
              <w:jc w:val="center"/>
            </w:pPr>
            <w:r w:rsidRPr="00AA72E4">
              <w:t>0.00</w:t>
            </w:r>
          </w:p>
        </w:tc>
        <w:tc>
          <w:tcPr>
            <w:tcW w:w="1038" w:type="dxa"/>
          </w:tcPr>
          <w:p w:rsidR="005858C8" w:rsidRPr="00AA72E4" w:rsidRDefault="005858C8" w:rsidP="00D73466">
            <w:pPr>
              <w:jc w:val="center"/>
            </w:pPr>
            <w:r w:rsidRPr="00AA72E4">
              <w:t>0.00</w:t>
            </w:r>
          </w:p>
        </w:tc>
        <w:tc>
          <w:tcPr>
            <w:tcW w:w="1038" w:type="dxa"/>
          </w:tcPr>
          <w:p w:rsidR="005858C8" w:rsidRPr="00AA72E4" w:rsidRDefault="005858C8" w:rsidP="00D73466">
            <w:pPr>
              <w:jc w:val="center"/>
            </w:pPr>
            <w:r w:rsidRPr="00AA72E4">
              <w:t>0.00</w:t>
            </w:r>
          </w:p>
        </w:tc>
        <w:tc>
          <w:tcPr>
            <w:tcW w:w="1037" w:type="dxa"/>
          </w:tcPr>
          <w:p w:rsidR="005858C8" w:rsidRPr="00AA72E4" w:rsidRDefault="005858C8" w:rsidP="00D73466">
            <w:pPr>
              <w:jc w:val="center"/>
            </w:pPr>
            <w:r w:rsidRPr="00AA72E4">
              <w:t>0.15</w:t>
            </w:r>
          </w:p>
        </w:tc>
        <w:tc>
          <w:tcPr>
            <w:tcW w:w="1038" w:type="dxa"/>
          </w:tcPr>
          <w:p w:rsidR="005858C8" w:rsidRPr="00AA72E4" w:rsidRDefault="005858C8" w:rsidP="00D73466">
            <w:pPr>
              <w:jc w:val="center"/>
            </w:pPr>
            <w:r w:rsidRPr="00AA72E4">
              <w:t>0.52</w:t>
            </w:r>
          </w:p>
        </w:tc>
        <w:tc>
          <w:tcPr>
            <w:tcW w:w="1038" w:type="dxa"/>
          </w:tcPr>
          <w:p w:rsidR="005858C8" w:rsidRPr="00AA72E4" w:rsidRDefault="005858C8" w:rsidP="00D73466">
            <w:pPr>
              <w:jc w:val="center"/>
            </w:pPr>
            <w:r w:rsidRPr="00AA72E4">
              <w:t>0.82</w:t>
            </w:r>
          </w:p>
        </w:tc>
        <w:tc>
          <w:tcPr>
            <w:tcW w:w="1037" w:type="dxa"/>
          </w:tcPr>
          <w:p w:rsidR="005858C8" w:rsidRPr="00AA72E4" w:rsidRDefault="005858C8" w:rsidP="00D73466">
            <w:pPr>
              <w:jc w:val="center"/>
            </w:pPr>
            <w:r w:rsidRPr="00AA72E4">
              <w:t>0.97</w:t>
            </w:r>
          </w:p>
        </w:tc>
        <w:tc>
          <w:tcPr>
            <w:tcW w:w="1038" w:type="dxa"/>
          </w:tcPr>
          <w:p w:rsidR="005858C8" w:rsidRPr="00AA72E4" w:rsidRDefault="005858C8" w:rsidP="00D73466">
            <w:pPr>
              <w:jc w:val="center"/>
            </w:pPr>
            <w:r w:rsidRPr="00AA72E4">
              <w:t>0.81</w:t>
            </w:r>
          </w:p>
        </w:tc>
        <w:tc>
          <w:tcPr>
            <w:tcW w:w="1038" w:type="dxa"/>
          </w:tcPr>
          <w:p w:rsidR="005858C8" w:rsidRPr="00AA72E4" w:rsidRDefault="005858C8" w:rsidP="00D73466">
            <w:pPr>
              <w:jc w:val="center"/>
            </w:pPr>
            <w:r w:rsidRPr="00AA72E4">
              <w:t>0.54</w:t>
            </w:r>
          </w:p>
        </w:tc>
        <w:tc>
          <w:tcPr>
            <w:tcW w:w="1038" w:type="dxa"/>
          </w:tcPr>
          <w:p w:rsidR="005858C8" w:rsidRDefault="005858C8" w:rsidP="00D73466">
            <w:pPr>
              <w:jc w:val="center"/>
            </w:pPr>
            <w:r w:rsidRPr="00AA72E4">
              <w:t>0.40</w:t>
            </w:r>
          </w:p>
        </w:tc>
      </w:tr>
      <w:tr w:rsidR="005858C8" w:rsidRPr="00D31979" w:rsidTr="00D73466">
        <w:tc>
          <w:tcPr>
            <w:tcW w:w="3798" w:type="dxa"/>
          </w:tcPr>
          <w:p w:rsidR="005858C8" w:rsidRPr="00D31979" w:rsidRDefault="005858C8" w:rsidP="00D73466">
            <w:pPr>
              <w:keepNext/>
              <w:rPr>
                <w:lang w:val="en-GB"/>
              </w:rPr>
            </w:pPr>
            <w:r w:rsidRPr="00D31979">
              <w:rPr>
                <w:lang w:val="en-GB"/>
              </w:rPr>
              <w:t>1.2. Promotion of enterprise and innovations</w:t>
            </w:r>
          </w:p>
        </w:tc>
        <w:tc>
          <w:tcPr>
            <w:tcW w:w="1037" w:type="dxa"/>
          </w:tcPr>
          <w:p w:rsidR="005858C8" w:rsidRPr="000422C9" w:rsidRDefault="005858C8" w:rsidP="00D73466">
            <w:pPr>
              <w:jc w:val="center"/>
            </w:pPr>
            <w:r w:rsidRPr="000422C9">
              <w:t>0.00</w:t>
            </w:r>
          </w:p>
        </w:tc>
        <w:tc>
          <w:tcPr>
            <w:tcW w:w="1038" w:type="dxa"/>
          </w:tcPr>
          <w:p w:rsidR="005858C8" w:rsidRPr="000422C9" w:rsidRDefault="005858C8" w:rsidP="00D73466">
            <w:pPr>
              <w:jc w:val="center"/>
            </w:pPr>
            <w:r w:rsidRPr="000422C9">
              <w:t>0.00</w:t>
            </w:r>
          </w:p>
        </w:tc>
        <w:tc>
          <w:tcPr>
            <w:tcW w:w="1038" w:type="dxa"/>
          </w:tcPr>
          <w:p w:rsidR="005858C8" w:rsidRPr="000422C9" w:rsidRDefault="005858C8" w:rsidP="00D73466">
            <w:pPr>
              <w:jc w:val="center"/>
            </w:pPr>
            <w:r w:rsidRPr="000422C9">
              <w:t>0.00</w:t>
            </w:r>
          </w:p>
        </w:tc>
        <w:tc>
          <w:tcPr>
            <w:tcW w:w="1037" w:type="dxa"/>
          </w:tcPr>
          <w:p w:rsidR="005858C8" w:rsidRPr="000422C9" w:rsidRDefault="005858C8" w:rsidP="00D73466">
            <w:pPr>
              <w:jc w:val="center"/>
            </w:pPr>
            <w:r w:rsidRPr="000422C9">
              <w:t>0.15</w:t>
            </w:r>
          </w:p>
        </w:tc>
        <w:tc>
          <w:tcPr>
            <w:tcW w:w="1038" w:type="dxa"/>
          </w:tcPr>
          <w:p w:rsidR="005858C8" w:rsidRPr="000422C9" w:rsidRDefault="005858C8" w:rsidP="00D73466">
            <w:pPr>
              <w:jc w:val="center"/>
            </w:pPr>
            <w:r w:rsidRPr="000422C9">
              <w:t>0.21</w:t>
            </w:r>
          </w:p>
        </w:tc>
        <w:tc>
          <w:tcPr>
            <w:tcW w:w="1038" w:type="dxa"/>
          </w:tcPr>
          <w:p w:rsidR="005858C8" w:rsidRPr="000422C9" w:rsidRDefault="005858C8" w:rsidP="00D73466">
            <w:pPr>
              <w:jc w:val="center"/>
            </w:pPr>
            <w:r w:rsidRPr="000422C9">
              <w:t>0.31</w:t>
            </w:r>
          </w:p>
        </w:tc>
        <w:tc>
          <w:tcPr>
            <w:tcW w:w="1037" w:type="dxa"/>
          </w:tcPr>
          <w:p w:rsidR="005858C8" w:rsidRPr="000422C9" w:rsidRDefault="005858C8" w:rsidP="00D73466">
            <w:pPr>
              <w:jc w:val="center"/>
            </w:pPr>
            <w:r w:rsidRPr="000422C9">
              <w:t>0.27</w:t>
            </w:r>
          </w:p>
        </w:tc>
        <w:tc>
          <w:tcPr>
            <w:tcW w:w="1038" w:type="dxa"/>
          </w:tcPr>
          <w:p w:rsidR="005858C8" w:rsidRPr="000422C9" w:rsidRDefault="005858C8" w:rsidP="00D73466">
            <w:pPr>
              <w:jc w:val="center"/>
            </w:pPr>
            <w:r w:rsidRPr="000422C9">
              <w:t>0.13</w:t>
            </w:r>
          </w:p>
        </w:tc>
        <w:tc>
          <w:tcPr>
            <w:tcW w:w="1038" w:type="dxa"/>
          </w:tcPr>
          <w:p w:rsidR="005858C8" w:rsidRPr="000422C9" w:rsidRDefault="005858C8" w:rsidP="00D73466">
            <w:pPr>
              <w:jc w:val="center"/>
            </w:pPr>
            <w:r w:rsidRPr="000422C9">
              <w:t>0.20</w:t>
            </w:r>
          </w:p>
        </w:tc>
        <w:tc>
          <w:tcPr>
            <w:tcW w:w="1038" w:type="dxa"/>
          </w:tcPr>
          <w:p w:rsidR="005858C8" w:rsidRDefault="005858C8" w:rsidP="00D73466">
            <w:pPr>
              <w:jc w:val="center"/>
            </w:pPr>
            <w:r w:rsidRPr="000422C9">
              <w:t>0.19</w:t>
            </w:r>
          </w:p>
        </w:tc>
      </w:tr>
      <w:tr w:rsidR="005858C8" w:rsidRPr="00D31979" w:rsidTr="00D73466">
        <w:tc>
          <w:tcPr>
            <w:tcW w:w="3798" w:type="dxa"/>
          </w:tcPr>
          <w:p w:rsidR="005858C8" w:rsidRPr="00D31979" w:rsidRDefault="005858C8" w:rsidP="00D73466">
            <w:pPr>
              <w:keepNext/>
              <w:rPr>
                <w:lang w:val="en-GB"/>
              </w:rPr>
            </w:pPr>
            <w:r w:rsidRPr="00D31979">
              <w:rPr>
                <w:lang w:val="en-GB"/>
              </w:rPr>
              <w:t>1.3. Development of human resources and promotion of employment</w:t>
            </w:r>
          </w:p>
        </w:tc>
        <w:tc>
          <w:tcPr>
            <w:tcW w:w="1037" w:type="dxa"/>
          </w:tcPr>
          <w:p w:rsidR="005858C8" w:rsidRPr="003C0B07" w:rsidRDefault="005858C8" w:rsidP="00D73466">
            <w:pPr>
              <w:jc w:val="center"/>
            </w:pPr>
            <w:r w:rsidRPr="003C0B07">
              <w:t>0.00</w:t>
            </w:r>
          </w:p>
        </w:tc>
        <w:tc>
          <w:tcPr>
            <w:tcW w:w="1038" w:type="dxa"/>
          </w:tcPr>
          <w:p w:rsidR="005858C8" w:rsidRPr="003C0B07" w:rsidRDefault="005858C8" w:rsidP="00D73466">
            <w:pPr>
              <w:jc w:val="center"/>
            </w:pPr>
            <w:r w:rsidRPr="003C0B07">
              <w:t>0.00</w:t>
            </w:r>
          </w:p>
        </w:tc>
        <w:tc>
          <w:tcPr>
            <w:tcW w:w="1038" w:type="dxa"/>
          </w:tcPr>
          <w:p w:rsidR="005858C8" w:rsidRPr="003C0B07" w:rsidRDefault="005858C8" w:rsidP="00D73466">
            <w:pPr>
              <w:jc w:val="center"/>
            </w:pPr>
            <w:r w:rsidRPr="003C0B07">
              <w:t>0.00</w:t>
            </w:r>
          </w:p>
        </w:tc>
        <w:tc>
          <w:tcPr>
            <w:tcW w:w="1037" w:type="dxa"/>
          </w:tcPr>
          <w:p w:rsidR="005858C8" w:rsidRPr="003C0B07" w:rsidRDefault="005858C8" w:rsidP="00D73466">
            <w:pPr>
              <w:jc w:val="center"/>
            </w:pPr>
            <w:r w:rsidRPr="003C0B07">
              <w:t>0.01</w:t>
            </w:r>
          </w:p>
        </w:tc>
        <w:tc>
          <w:tcPr>
            <w:tcW w:w="1038" w:type="dxa"/>
          </w:tcPr>
          <w:p w:rsidR="005858C8" w:rsidRPr="003C0B07" w:rsidRDefault="005858C8" w:rsidP="00D73466">
            <w:pPr>
              <w:jc w:val="center"/>
            </w:pPr>
            <w:r w:rsidRPr="003C0B07">
              <w:t>0.05</w:t>
            </w:r>
          </w:p>
        </w:tc>
        <w:tc>
          <w:tcPr>
            <w:tcW w:w="1038" w:type="dxa"/>
          </w:tcPr>
          <w:p w:rsidR="005858C8" w:rsidRPr="003C0B07" w:rsidRDefault="005858C8" w:rsidP="00D73466">
            <w:pPr>
              <w:jc w:val="center"/>
            </w:pPr>
            <w:r w:rsidRPr="003C0B07">
              <w:t>0.08</w:t>
            </w:r>
          </w:p>
        </w:tc>
        <w:tc>
          <w:tcPr>
            <w:tcW w:w="1037" w:type="dxa"/>
          </w:tcPr>
          <w:p w:rsidR="005858C8" w:rsidRPr="003C0B07" w:rsidRDefault="005858C8" w:rsidP="00D73466">
            <w:pPr>
              <w:jc w:val="center"/>
            </w:pPr>
            <w:r w:rsidRPr="003C0B07">
              <w:t>0.08</w:t>
            </w:r>
          </w:p>
        </w:tc>
        <w:tc>
          <w:tcPr>
            <w:tcW w:w="1038" w:type="dxa"/>
          </w:tcPr>
          <w:p w:rsidR="005858C8" w:rsidRPr="003C0B07" w:rsidRDefault="005858C8" w:rsidP="00D73466">
            <w:pPr>
              <w:jc w:val="center"/>
            </w:pPr>
            <w:r w:rsidRPr="003C0B07">
              <w:t>0.03</w:t>
            </w:r>
          </w:p>
        </w:tc>
        <w:tc>
          <w:tcPr>
            <w:tcW w:w="1038" w:type="dxa"/>
          </w:tcPr>
          <w:p w:rsidR="005858C8" w:rsidRPr="003C0B07" w:rsidRDefault="005858C8" w:rsidP="00D73466">
            <w:pPr>
              <w:jc w:val="center"/>
            </w:pPr>
            <w:r w:rsidRPr="003C0B07">
              <w:t>0.00</w:t>
            </w:r>
          </w:p>
        </w:tc>
        <w:tc>
          <w:tcPr>
            <w:tcW w:w="1038" w:type="dxa"/>
          </w:tcPr>
          <w:p w:rsidR="005858C8" w:rsidRDefault="005858C8" w:rsidP="00D73466">
            <w:pPr>
              <w:jc w:val="center"/>
            </w:pPr>
            <w:r w:rsidRPr="003C0B07">
              <w:t>0.01</w:t>
            </w:r>
          </w:p>
        </w:tc>
      </w:tr>
      <w:tr w:rsidR="005858C8" w:rsidRPr="00D31979" w:rsidTr="00D73466">
        <w:tc>
          <w:tcPr>
            <w:tcW w:w="3798" w:type="dxa"/>
          </w:tcPr>
          <w:p w:rsidR="005858C8" w:rsidRPr="00D31979" w:rsidRDefault="005858C8" w:rsidP="00D73466">
            <w:pPr>
              <w:keepNext/>
              <w:rPr>
                <w:lang w:val="en-GB"/>
              </w:rPr>
            </w:pPr>
            <w:r w:rsidRPr="00D31979">
              <w:rPr>
                <w:lang w:val="en-GB"/>
              </w:rPr>
              <w:t>1.4. Promotion of development of agriculture and fisheries</w:t>
            </w:r>
          </w:p>
        </w:tc>
        <w:tc>
          <w:tcPr>
            <w:tcW w:w="1037" w:type="dxa"/>
          </w:tcPr>
          <w:p w:rsidR="005858C8" w:rsidRPr="00F46DBB" w:rsidRDefault="005858C8" w:rsidP="00D73466">
            <w:pPr>
              <w:jc w:val="center"/>
            </w:pPr>
            <w:r w:rsidRPr="00F46DBB">
              <w:t>0.00</w:t>
            </w:r>
          </w:p>
        </w:tc>
        <w:tc>
          <w:tcPr>
            <w:tcW w:w="1038" w:type="dxa"/>
          </w:tcPr>
          <w:p w:rsidR="005858C8" w:rsidRPr="00F46DBB" w:rsidRDefault="005858C8" w:rsidP="00D73466">
            <w:pPr>
              <w:jc w:val="center"/>
            </w:pPr>
            <w:r w:rsidRPr="00F46DBB">
              <w:t>0.00</w:t>
            </w:r>
          </w:p>
        </w:tc>
        <w:tc>
          <w:tcPr>
            <w:tcW w:w="1038" w:type="dxa"/>
          </w:tcPr>
          <w:p w:rsidR="005858C8" w:rsidRPr="00F46DBB" w:rsidRDefault="005858C8" w:rsidP="00D73466">
            <w:pPr>
              <w:jc w:val="center"/>
            </w:pPr>
            <w:r w:rsidRPr="00F46DBB">
              <w:t>0.00</w:t>
            </w:r>
          </w:p>
        </w:tc>
        <w:tc>
          <w:tcPr>
            <w:tcW w:w="1037" w:type="dxa"/>
          </w:tcPr>
          <w:p w:rsidR="005858C8" w:rsidRPr="00F46DBB" w:rsidRDefault="005858C8" w:rsidP="00D73466">
            <w:pPr>
              <w:jc w:val="center"/>
            </w:pPr>
            <w:r w:rsidRPr="00F46DBB">
              <w:t>0.09</w:t>
            </w:r>
          </w:p>
        </w:tc>
        <w:tc>
          <w:tcPr>
            <w:tcW w:w="1038" w:type="dxa"/>
          </w:tcPr>
          <w:p w:rsidR="005858C8" w:rsidRPr="00F46DBB" w:rsidRDefault="005858C8" w:rsidP="00D73466">
            <w:pPr>
              <w:jc w:val="center"/>
            </w:pPr>
            <w:r w:rsidRPr="00F46DBB">
              <w:t>0.30</w:t>
            </w:r>
          </w:p>
        </w:tc>
        <w:tc>
          <w:tcPr>
            <w:tcW w:w="1038" w:type="dxa"/>
          </w:tcPr>
          <w:p w:rsidR="005858C8" w:rsidRPr="00F46DBB" w:rsidRDefault="005858C8" w:rsidP="00D73466">
            <w:pPr>
              <w:jc w:val="center"/>
            </w:pPr>
            <w:r w:rsidRPr="00F46DBB">
              <w:t>0.20</w:t>
            </w:r>
          </w:p>
        </w:tc>
        <w:tc>
          <w:tcPr>
            <w:tcW w:w="1037" w:type="dxa"/>
          </w:tcPr>
          <w:p w:rsidR="005858C8" w:rsidRPr="00F46DBB" w:rsidRDefault="005858C8" w:rsidP="00D73466">
            <w:pPr>
              <w:jc w:val="center"/>
            </w:pPr>
            <w:r w:rsidRPr="00F46DBB">
              <w:t>0.19</w:t>
            </w:r>
          </w:p>
        </w:tc>
        <w:tc>
          <w:tcPr>
            <w:tcW w:w="1038" w:type="dxa"/>
          </w:tcPr>
          <w:p w:rsidR="005858C8" w:rsidRPr="00F46DBB" w:rsidRDefault="005858C8" w:rsidP="00D73466">
            <w:pPr>
              <w:jc w:val="center"/>
            </w:pPr>
            <w:r w:rsidRPr="00F46DBB">
              <w:t>0.17</w:t>
            </w:r>
          </w:p>
        </w:tc>
        <w:tc>
          <w:tcPr>
            <w:tcW w:w="1038" w:type="dxa"/>
          </w:tcPr>
          <w:p w:rsidR="005858C8" w:rsidRPr="00F46DBB" w:rsidRDefault="005858C8" w:rsidP="00D73466">
            <w:pPr>
              <w:jc w:val="center"/>
            </w:pPr>
            <w:r w:rsidRPr="00F46DBB">
              <w:t>0.08</w:t>
            </w:r>
          </w:p>
        </w:tc>
        <w:tc>
          <w:tcPr>
            <w:tcW w:w="1038" w:type="dxa"/>
          </w:tcPr>
          <w:p w:rsidR="005858C8" w:rsidRDefault="005858C8" w:rsidP="00D73466">
            <w:pPr>
              <w:jc w:val="center"/>
            </w:pPr>
            <w:r w:rsidRPr="00F46DBB">
              <w:t>0.04</w:t>
            </w:r>
          </w:p>
        </w:tc>
      </w:tr>
      <w:tr w:rsidR="005858C8" w:rsidRPr="00D31979" w:rsidTr="00D73466">
        <w:tc>
          <w:tcPr>
            <w:tcW w:w="3798" w:type="dxa"/>
          </w:tcPr>
          <w:p w:rsidR="005858C8" w:rsidRPr="00D31979" w:rsidRDefault="005858C8" w:rsidP="00D73466">
            <w:pPr>
              <w:keepNext/>
              <w:rPr>
                <w:lang w:val="en-GB"/>
              </w:rPr>
            </w:pPr>
            <w:r w:rsidRPr="00D31979">
              <w:rPr>
                <w:lang w:val="en-GB"/>
              </w:rPr>
              <w:t>1.5. Technical assistance</w:t>
            </w:r>
          </w:p>
        </w:tc>
        <w:tc>
          <w:tcPr>
            <w:tcW w:w="1037" w:type="dxa"/>
          </w:tcPr>
          <w:p w:rsidR="005858C8" w:rsidRPr="001403C6" w:rsidRDefault="005858C8" w:rsidP="00D73466">
            <w:pPr>
              <w:jc w:val="center"/>
            </w:pPr>
            <w:r w:rsidRPr="001403C6">
              <w:t>0.00</w:t>
            </w:r>
          </w:p>
        </w:tc>
        <w:tc>
          <w:tcPr>
            <w:tcW w:w="1038" w:type="dxa"/>
          </w:tcPr>
          <w:p w:rsidR="005858C8" w:rsidRPr="001403C6" w:rsidRDefault="005858C8" w:rsidP="00D73466">
            <w:pPr>
              <w:jc w:val="center"/>
            </w:pPr>
            <w:r w:rsidRPr="001403C6">
              <w:t>0.00</w:t>
            </w:r>
          </w:p>
        </w:tc>
        <w:tc>
          <w:tcPr>
            <w:tcW w:w="1038" w:type="dxa"/>
          </w:tcPr>
          <w:p w:rsidR="005858C8" w:rsidRPr="001403C6" w:rsidRDefault="005858C8" w:rsidP="00D73466">
            <w:pPr>
              <w:jc w:val="center"/>
            </w:pPr>
            <w:r w:rsidRPr="001403C6">
              <w:t>0.00</w:t>
            </w:r>
          </w:p>
        </w:tc>
        <w:tc>
          <w:tcPr>
            <w:tcW w:w="1037" w:type="dxa"/>
          </w:tcPr>
          <w:p w:rsidR="005858C8" w:rsidRPr="001403C6" w:rsidRDefault="005858C8" w:rsidP="00D73466">
            <w:pPr>
              <w:jc w:val="center"/>
            </w:pPr>
            <w:r w:rsidRPr="001403C6">
              <w:t>0.01</w:t>
            </w:r>
          </w:p>
        </w:tc>
        <w:tc>
          <w:tcPr>
            <w:tcW w:w="1038" w:type="dxa"/>
          </w:tcPr>
          <w:p w:rsidR="005858C8" w:rsidRPr="001403C6" w:rsidRDefault="005858C8" w:rsidP="00D73466">
            <w:pPr>
              <w:jc w:val="center"/>
            </w:pPr>
            <w:r w:rsidRPr="001403C6">
              <w:t>0.03</w:t>
            </w:r>
          </w:p>
        </w:tc>
        <w:tc>
          <w:tcPr>
            <w:tcW w:w="1038" w:type="dxa"/>
          </w:tcPr>
          <w:p w:rsidR="005858C8" w:rsidRPr="001403C6" w:rsidRDefault="005858C8" w:rsidP="00D73466">
            <w:pPr>
              <w:jc w:val="center"/>
            </w:pPr>
            <w:r w:rsidRPr="001403C6">
              <w:t>0.06</w:t>
            </w:r>
          </w:p>
        </w:tc>
        <w:tc>
          <w:tcPr>
            <w:tcW w:w="1037" w:type="dxa"/>
          </w:tcPr>
          <w:p w:rsidR="005858C8" w:rsidRPr="001403C6" w:rsidRDefault="005858C8" w:rsidP="00D73466">
            <w:pPr>
              <w:jc w:val="center"/>
            </w:pPr>
            <w:r w:rsidRPr="001403C6">
              <w:t>0.07</w:t>
            </w:r>
          </w:p>
        </w:tc>
        <w:tc>
          <w:tcPr>
            <w:tcW w:w="1038" w:type="dxa"/>
          </w:tcPr>
          <w:p w:rsidR="005858C8" w:rsidRPr="001403C6" w:rsidRDefault="005858C8" w:rsidP="00D73466">
            <w:pPr>
              <w:jc w:val="center"/>
            </w:pPr>
            <w:r w:rsidRPr="001403C6">
              <w:t>0.06</w:t>
            </w:r>
          </w:p>
        </w:tc>
        <w:tc>
          <w:tcPr>
            <w:tcW w:w="1038" w:type="dxa"/>
          </w:tcPr>
          <w:p w:rsidR="005858C8" w:rsidRPr="001403C6" w:rsidRDefault="005858C8" w:rsidP="00D73466">
            <w:pPr>
              <w:jc w:val="center"/>
            </w:pPr>
            <w:r w:rsidRPr="001403C6">
              <w:t>0.04</w:t>
            </w:r>
          </w:p>
        </w:tc>
        <w:tc>
          <w:tcPr>
            <w:tcW w:w="1038" w:type="dxa"/>
          </w:tcPr>
          <w:p w:rsidR="005858C8" w:rsidRDefault="005858C8" w:rsidP="00D73466">
            <w:pPr>
              <w:jc w:val="center"/>
            </w:pPr>
            <w:r w:rsidRPr="001403C6">
              <w:t>0.03</w:t>
            </w:r>
          </w:p>
        </w:tc>
      </w:tr>
    </w:tbl>
    <w:p w:rsidR="005858C8" w:rsidRPr="00D31979" w:rsidRDefault="005858C8" w:rsidP="005858C8">
      <w:pPr>
        <w:keepNext/>
        <w:spacing w:after="0"/>
        <w:rPr>
          <w:lang w:val="en-GB"/>
        </w:rPr>
      </w:pPr>
      <w:r w:rsidRPr="00D31979">
        <w:rPr>
          <w:lang w:val="en-GB"/>
        </w:rPr>
        <w:t>* Impact calcu</w:t>
      </w:r>
      <w:r>
        <w:rPr>
          <w:lang w:val="en-GB"/>
        </w:rPr>
        <w:t>lated according to equation (3.3</w:t>
      </w:r>
      <w:r w:rsidRPr="00D31979">
        <w:rPr>
          <w:lang w:val="en-GB"/>
        </w:rPr>
        <w:t>)</w:t>
      </w:r>
    </w:p>
    <w:p w:rsidR="005858C8" w:rsidRPr="00D31979" w:rsidRDefault="005858C8" w:rsidP="005858C8">
      <w:pPr>
        <w:rPr>
          <w:i/>
          <w:lang w:val="en-GB"/>
        </w:rPr>
      </w:pPr>
      <w:r w:rsidRPr="00D31979">
        <w:rPr>
          <w:i/>
          <w:lang w:val="en-GB"/>
        </w:rPr>
        <w:t>Source: authors’ calculations</w:t>
      </w:r>
    </w:p>
    <w:p w:rsidR="005858C8" w:rsidRPr="00D31979" w:rsidRDefault="005858C8" w:rsidP="005858C8">
      <w:pPr>
        <w:keepNext/>
        <w:keepLines/>
        <w:rPr>
          <w:b/>
          <w:lang w:val="en-GB"/>
        </w:rPr>
      </w:pPr>
      <w:r w:rsidRPr="00D31979">
        <w:rPr>
          <w:b/>
          <w:lang w:val="en-GB"/>
        </w:rPr>
        <w:lastRenderedPageBreak/>
        <w:t xml:space="preserve">Table </w:t>
      </w:r>
      <w:r w:rsidR="00622A8D">
        <w:rPr>
          <w:b/>
          <w:lang w:val="en-GB"/>
        </w:rPr>
        <w:t>P.4</w:t>
      </w:r>
      <w:r w:rsidRPr="00D31979">
        <w:rPr>
          <w:b/>
          <w:lang w:val="en-GB"/>
        </w:rPr>
        <w:t xml:space="preserve">: Impact of funds of the </w:t>
      </w:r>
      <w:r>
        <w:rPr>
          <w:b/>
          <w:lang w:val="en-GB"/>
        </w:rPr>
        <w:t xml:space="preserve">2007-2013 </w:t>
      </w:r>
      <w:r w:rsidRPr="00D31979">
        <w:rPr>
          <w:b/>
          <w:lang w:val="en-GB"/>
        </w:rPr>
        <w:t>planning period on GDP in 2007-2020, assuming 30% crowding out.*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86"/>
        <w:gridCol w:w="849"/>
        <w:gridCol w:w="849"/>
        <w:gridCol w:w="849"/>
        <w:gridCol w:w="849"/>
        <w:gridCol w:w="850"/>
        <w:gridCol w:w="849"/>
        <w:gridCol w:w="849"/>
        <w:gridCol w:w="849"/>
        <w:gridCol w:w="849"/>
        <w:gridCol w:w="850"/>
        <w:gridCol w:w="849"/>
        <w:gridCol w:w="849"/>
        <w:gridCol w:w="849"/>
        <w:gridCol w:w="850"/>
      </w:tblGrid>
      <w:tr w:rsidR="005858C8" w:rsidRPr="00D31979" w:rsidTr="00D73466">
        <w:trPr>
          <w:tblHeader/>
        </w:trPr>
        <w:tc>
          <w:tcPr>
            <w:tcW w:w="2286" w:type="dxa"/>
            <w:shd w:val="clear" w:color="auto" w:fill="DBE5F1" w:themeFill="accent1" w:themeFillTint="33"/>
          </w:tcPr>
          <w:p w:rsidR="005858C8" w:rsidRPr="00D31979" w:rsidRDefault="005858C8" w:rsidP="00D73466">
            <w:pPr>
              <w:keepNext/>
              <w:keepLines/>
              <w:rPr>
                <w:rFonts w:cs="Times New Roman"/>
                <w:b/>
                <w:lang w:val="en-GB"/>
              </w:rPr>
            </w:pPr>
          </w:p>
        </w:tc>
        <w:tc>
          <w:tcPr>
            <w:tcW w:w="849"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2007</w:t>
            </w:r>
          </w:p>
        </w:tc>
        <w:tc>
          <w:tcPr>
            <w:tcW w:w="849"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2008</w:t>
            </w:r>
          </w:p>
        </w:tc>
        <w:tc>
          <w:tcPr>
            <w:tcW w:w="849"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2009</w:t>
            </w:r>
          </w:p>
        </w:tc>
        <w:tc>
          <w:tcPr>
            <w:tcW w:w="849"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2010</w:t>
            </w:r>
          </w:p>
        </w:tc>
        <w:tc>
          <w:tcPr>
            <w:tcW w:w="850"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2011</w:t>
            </w:r>
          </w:p>
        </w:tc>
        <w:tc>
          <w:tcPr>
            <w:tcW w:w="849"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2012</w:t>
            </w:r>
          </w:p>
        </w:tc>
        <w:tc>
          <w:tcPr>
            <w:tcW w:w="849"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2013</w:t>
            </w:r>
          </w:p>
        </w:tc>
        <w:tc>
          <w:tcPr>
            <w:tcW w:w="849"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2014</w:t>
            </w:r>
          </w:p>
        </w:tc>
        <w:tc>
          <w:tcPr>
            <w:tcW w:w="849"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2015</w:t>
            </w:r>
          </w:p>
        </w:tc>
        <w:tc>
          <w:tcPr>
            <w:tcW w:w="850"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2016</w:t>
            </w:r>
          </w:p>
        </w:tc>
        <w:tc>
          <w:tcPr>
            <w:tcW w:w="849"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2017</w:t>
            </w:r>
          </w:p>
        </w:tc>
        <w:tc>
          <w:tcPr>
            <w:tcW w:w="849"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2018</w:t>
            </w:r>
          </w:p>
        </w:tc>
        <w:tc>
          <w:tcPr>
            <w:tcW w:w="849"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2019</w:t>
            </w:r>
          </w:p>
        </w:tc>
        <w:tc>
          <w:tcPr>
            <w:tcW w:w="850" w:type="dxa"/>
            <w:shd w:val="clear" w:color="auto" w:fill="DBE5F1" w:themeFill="accent1" w:themeFillTint="33"/>
            <w:vAlign w:val="center"/>
          </w:tcPr>
          <w:p w:rsidR="005858C8" w:rsidRPr="00D31979" w:rsidRDefault="005858C8" w:rsidP="00D73466">
            <w:pPr>
              <w:keepNext/>
              <w:keepLines/>
              <w:jc w:val="center"/>
              <w:rPr>
                <w:rFonts w:cs="Times New Roman"/>
                <w:b/>
                <w:lang w:val="en-GB"/>
              </w:rPr>
            </w:pPr>
            <w:r w:rsidRPr="00D31979">
              <w:rPr>
                <w:rFonts w:cs="Times New Roman"/>
                <w:b/>
                <w:lang w:val="en-GB"/>
              </w:rPr>
              <w:t>2020</w:t>
            </w:r>
          </w:p>
        </w:tc>
      </w:tr>
      <w:tr w:rsidR="005858C8" w:rsidRPr="00D31979" w:rsidTr="00D73466">
        <w:tc>
          <w:tcPr>
            <w:tcW w:w="2286" w:type="dxa"/>
          </w:tcPr>
          <w:p w:rsidR="005858C8" w:rsidRPr="00D31979" w:rsidRDefault="005858C8" w:rsidP="00D73466">
            <w:pPr>
              <w:keepNext/>
              <w:rPr>
                <w:rFonts w:cs="Times New Roman"/>
                <w:b/>
                <w:lang w:val="en-GB"/>
              </w:rPr>
            </w:pPr>
            <w:r w:rsidRPr="00D31979">
              <w:rPr>
                <w:rFonts w:cs="Times New Roman"/>
                <w:b/>
                <w:lang w:val="en-GB"/>
              </w:rPr>
              <w:t xml:space="preserve">Returns of funds of the second planning period, incl. </w:t>
            </w:r>
          </w:p>
        </w:tc>
        <w:tc>
          <w:tcPr>
            <w:tcW w:w="849" w:type="dxa"/>
          </w:tcPr>
          <w:p w:rsidR="005858C8" w:rsidRPr="009242A9" w:rsidRDefault="005858C8" w:rsidP="00D73466">
            <w:pPr>
              <w:jc w:val="center"/>
            </w:pPr>
            <w:r w:rsidRPr="001F17DD">
              <w:rPr>
                <w:lang w:val="lv-LV"/>
              </w:rPr>
              <w:t>2.7</w:t>
            </w:r>
            <w:r w:rsidRPr="009242A9">
              <w:t>0</w:t>
            </w:r>
          </w:p>
        </w:tc>
        <w:tc>
          <w:tcPr>
            <w:tcW w:w="849" w:type="dxa"/>
          </w:tcPr>
          <w:p w:rsidR="005858C8" w:rsidRPr="009242A9" w:rsidRDefault="005858C8" w:rsidP="00D73466">
            <w:pPr>
              <w:jc w:val="center"/>
            </w:pPr>
            <w:r w:rsidRPr="009242A9">
              <w:t>2.92</w:t>
            </w:r>
          </w:p>
        </w:tc>
        <w:tc>
          <w:tcPr>
            <w:tcW w:w="849" w:type="dxa"/>
          </w:tcPr>
          <w:p w:rsidR="005858C8" w:rsidRPr="009242A9" w:rsidRDefault="005858C8" w:rsidP="00D73466">
            <w:pPr>
              <w:jc w:val="center"/>
            </w:pPr>
            <w:r w:rsidRPr="009242A9">
              <w:t>3.38</w:t>
            </w:r>
          </w:p>
        </w:tc>
        <w:tc>
          <w:tcPr>
            <w:tcW w:w="849" w:type="dxa"/>
          </w:tcPr>
          <w:p w:rsidR="005858C8" w:rsidRPr="009242A9" w:rsidRDefault="005858C8" w:rsidP="00D73466">
            <w:pPr>
              <w:jc w:val="center"/>
            </w:pPr>
            <w:r w:rsidRPr="009242A9">
              <w:t>4.78</w:t>
            </w:r>
          </w:p>
        </w:tc>
        <w:tc>
          <w:tcPr>
            <w:tcW w:w="850" w:type="dxa"/>
          </w:tcPr>
          <w:p w:rsidR="005858C8" w:rsidRPr="009242A9" w:rsidRDefault="005858C8" w:rsidP="00D73466">
            <w:pPr>
              <w:jc w:val="center"/>
            </w:pPr>
            <w:r w:rsidRPr="009242A9">
              <w:t>6.77</w:t>
            </w:r>
          </w:p>
        </w:tc>
        <w:tc>
          <w:tcPr>
            <w:tcW w:w="849" w:type="dxa"/>
          </w:tcPr>
          <w:p w:rsidR="005858C8" w:rsidRPr="009242A9" w:rsidRDefault="005858C8" w:rsidP="00D73466">
            <w:pPr>
              <w:jc w:val="center"/>
            </w:pPr>
            <w:r w:rsidRPr="009242A9">
              <w:t>6.53</w:t>
            </w:r>
          </w:p>
        </w:tc>
        <w:tc>
          <w:tcPr>
            <w:tcW w:w="849" w:type="dxa"/>
          </w:tcPr>
          <w:p w:rsidR="005858C8" w:rsidRPr="009242A9" w:rsidRDefault="005858C8" w:rsidP="00D73466">
            <w:pPr>
              <w:jc w:val="center"/>
            </w:pPr>
            <w:r w:rsidRPr="009242A9">
              <w:t>5.92</w:t>
            </w:r>
          </w:p>
        </w:tc>
        <w:tc>
          <w:tcPr>
            <w:tcW w:w="849" w:type="dxa"/>
          </w:tcPr>
          <w:p w:rsidR="005858C8" w:rsidRPr="009242A9" w:rsidRDefault="005858C8" w:rsidP="00D73466">
            <w:pPr>
              <w:jc w:val="center"/>
            </w:pPr>
            <w:r w:rsidRPr="009242A9">
              <w:t>4.77</w:t>
            </w:r>
          </w:p>
        </w:tc>
        <w:tc>
          <w:tcPr>
            <w:tcW w:w="849" w:type="dxa"/>
          </w:tcPr>
          <w:p w:rsidR="005858C8" w:rsidRPr="009242A9" w:rsidRDefault="005858C8" w:rsidP="00D73466">
            <w:pPr>
              <w:jc w:val="center"/>
            </w:pPr>
            <w:r w:rsidRPr="009242A9">
              <w:t>3.40</w:t>
            </w:r>
          </w:p>
        </w:tc>
        <w:tc>
          <w:tcPr>
            <w:tcW w:w="850" w:type="dxa"/>
          </w:tcPr>
          <w:p w:rsidR="005858C8" w:rsidRPr="009242A9" w:rsidRDefault="005858C8" w:rsidP="00D73466">
            <w:pPr>
              <w:jc w:val="center"/>
            </w:pPr>
            <w:r w:rsidRPr="009242A9">
              <w:t>2.45</w:t>
            </w:r>
          </w:p>
        </w:tc>
        <w:tc>
          <w:tcPr>
            <w:tcW w:w="849" w:type="dxa"/>
          </w:tcPr>
          <w:p w:rsidR="005858C8" w:rsidRPr="009242A9" w:rsidRDefault="005858C8" w:rsidP="00D73466">
            <w:pPr>
              <w:jc w:val="center"/>
            </w:pPr>
            <w:r w:rsidRPr="009242A9">
              <w:t>1.85</w:t>
            </w:r>
          </w:p>
        </w:tc>
        <w:tc>
          <w:tcPr>
            <w:tcW w:w="849" w:type="dxa"/>
          </w:tcPr>
          <w:p w:rsidR="005858C8" w:rsidRPr="009242A9" w:rsidRDefault="005858C8" w:rsidP="00D73466">
            <w:pPr>
              <w:jc w:val="center"/>
            </w:pPr>
            <w:r w:rsidRPr="009242A9">
              <w:t>1.50</w:t>
            </w:r>
          </w:p>
        </w:tc>
        <w:tc>
          <w:tcPr>
            <w:tcW w:w="849" w:type="dxa"/>
          </w:tcPr>
          <w:p w:rsidR="005858C8" w:rsidRPr="009242A9" w:rsidRDefault="005858C8" w:rsidP="00D73466">
            <w:pPr>
              <w:jc w:val="center"/>
            </w:pPr>
            <w:r w:rsidRPr="009242A9">
              <w:t>1.30</w:t>
            </w:r>
          </w:p>
        </w:tc>
        <w:tc>
          <w:tcPr>
            <w:tcW w:w="850" w:type="dxa"/>
          </w:tcPr>
          <w:p w:rsidR="005858C8" w:rsidRDefault="005858C8" w:rsidP="00D73466">
            <w:pPr>
              <w:jc w:val="center"/>
            </w:pPr>
            <w:r w:rsidRPr="009242A9">
              <w:t>1.15</w:t>
            </w:r>
          </w:p>
        </w:tc>
      </w:tr>
      <w:tr w:rsidR="005858C8" w:rsidRPr="00D31979" w:rsidTr="00D73466">
        <w:tc>
          <w:tcPr>
            <w:tcW w:w="2286" w:type="dxa"/>
          </w:tcPr>
          <w:p w:rsidR="005858C8" w:rsidRPr="00D31979" w:rsidRDefault="005858C8" w:rsidP="00D73466">
            <w:pPr>
              <w:keepNext/>
              <w:rPr>
                <w:lang w:val="en-GB"/>
              </w:rPr>
            </w:pPr>
            <w:r w:rsidRPr="00D31979">
              <w:rPr>
                <w:lang w:val="en-GB"/>
              </w:rPr>
              <w:t xml:space="preserve"> 2.1. Research and technology development</w:t>
            </w:r>
          </w:p>
        </w:tc>
        <w:tc>
          <w:tcPr>
            <w:tcW w:w="849" w:type="dxa"/>
          </w:tcPr>
          <w:p w:rsidR="005858C8" w:rsidRPr="00480697" w:rsidRDefault="005858C8" w:rsidP="00D73466">
            <w:pPr>
              <w:jc w:val="center"/>
            </w:pPr>
            <w:r w:rsidRPr="00480697">
              <w:t>0.00</w:t>
            </w:r>
          </w:p>
        </w:tc>
        <w:tc>
          <w:tcPr>
            <w:tcW w:w="849" w:type="dxa"/>
          </w:tcPr>
          <w:p w:rsidR="005858C8" w:rsidRPr="00480697" w:rsidRDefault="005858C8" w:rsidP="00D73466">
            <w:pPr>
              <w:jc w:val="center"/>
            </w:pPr>
            <w:r w:rsidRPr="00480697">
              <w:t>0.00</w:t>
            </w:r>
          </w:p>
        </w:tc>
        <w:tc>
          <w:tcPr>
            <w:tcW w:w="849" w:type="dxa"/>
          </w:tcPr>
          <w:p w:rsidR="005858C8" w:rsidRPr="00480697" w:rsidRDefault="005858C8" w:rsidP="00D73466">
            <w:pPr>
              <w:jc w:val="center"/>
            </w:pPr>
            <w:r w:rsidRPr="00480697">
              <w:t>0.00</w:t>
            </w:r>
          </w:p>
        </w:tc>
        <w:tc>
          <w:tcPr>
            <w:tcW w:w="849" w:type="dxa"/>
          </w:tcPr>
          <w:p w:rsidR="005858C8" w:rsidRPr="00480697" w:rsidRDefault="005858C8" w:rsidP="00D73466">
            <w:pPr>
              <w:jc w:val="center"/>
            </w:pPr>
            <w:r w:rsidRPr="00480697">
              <w:t>0.00</w:t>
            </w:r>
          </w:p>
        </w:tc>
        <w:tc>
          <w:tcPr>
            <w:tcW w:w="850" w:type="dxa"/>
          </w:tcPr>
          <w:p w:rsidR="005858C8" w:rsidRPr="00480697" w:rsidRDefault="005858C8" w:rsidP="00D73466">
            <w:pPr>
              <w:jc w:val="center"/>
            </w:pPr>
            <w:r w:rsidRPr="00480697">
              <w:t>0.01</w:t>
            </w:r>
          </w:p>
        </w:tc>
        <w:tc>
          <w:tcPr>
            <w:tcW w:w="849" w:type="dxa"/>
          </w:tcPr>
          <w:p w:rsidR="005858C8" w:rsidRPr="00480697" w:rsidRDefault="005858C8" w:rsidP="00D73466">
            <w:pPr>
              <w:jc w:val="center"/>
            </w:pPr>
            <w:r w:rsidRPr="00480697">
              <w:t>0.04</w:t>
            </w:r>
          </w:p>
        </w:tc>
        <w:tc>
          <w:tcPr>
            <w:tcW w:w="849" w:type="dxa"/>
          </w:tcPr>
          <w:p w:rsidR="005858C8" w:rsidRPr="00480697" w:rsidRDefault="005858C8" w:rsidP="00D73466">
            <w:pPr>
              <w:jc w:val="center"/>
            </w:pPr>
            <w:r w:rsidRPr="00480697">
              <w:t>0.09</w:t>
            </w:r>
          </w:p>
        </w:tc>
        <w:tc>
          <w:tcPr>
            <w:tcW w:w="849" w:type="dxa"/>
          </w:tcPr>
          <w:p w:rsidR="005858C8" w:rsidRPr="00480697" w:rsidRDefault="005858C8" w:rsidP="00D73466">
            <w:pPr>
              <w:jc w:val="center"/>
            </w:pPr>
            <w:r w:rsidRPr="00480697">
              <w:t>0.17</w:t>
            </w:r>
          </w:p>
        </w:tc>
        <w:tc>
          <w:tcPr>
            <w:tcW w:w="849" w:type="dxa"/>
          </w:tcPr>
          <w:p w:rsidR="005858C8" w:rsidRPr="00480697" w:rsidRDefault="005858C8" w:rsidP="00D73466">
            <w:pPr>
              <w:jc w:val="center"/>
            </w:pPr>
            <w:r w:rsidRPr="00480697">
              <w:t>0.26</w:t>
            </w:r>
          </w:p>
        </w:tc>
        <w:tc>
          <w:tcPr>
            <w:tcW w:w="850" w:type="dxa"/>
          </w:tcPr>
          <w:p w:rsidR="005858C8" w:rsidRPr="00480697" w:rsidRDefault="005858C8" w:rsidP="00D73466">
            <w:pPr>
              <w:jc w:val="center"/>
            </w:pPr>
            <w:r w:rsidRPr="00480697">
              <w:t>0.29</w:t>
            </w:r>
          </w:p>
        </w:tc>
        <w:tc>
          <w:tcPr>
            <w:tcW w:w="849" w:type="dxa"/>
          </w:tcPr>
          <w:p w:rsidR="005858C8" w:rsidRPr="00480697" w:rsidRDefault="005858C8" w:rsidP="00D73466">
            <w:pPr>
              <w:jc w:val="center"/>
            </w:pPr>
            <w:r w:rsidRPr="00480697">
              <w:t>0.29</w:t>
            </w:r>
          </w:p>
        </w:tc>
        <w:tc>
          <w:tcPr>
            <w:tcW w:w="849" w:type="dxa"/>
          </w:tcPr>
          <w:p w:rsidR="005858C8" w:rsidRPr="00480697" w:rsidRDefault="005858C8" w:rsidP="00D73466">
            <w:pPr>
              <w:jc w:val="center"/>
            </w:pPr>
            <w:r w:rsidRPr="00480697">
              <w:t>0.23</w:t>
            </w:r>
          </w:p>
        </w:tc>
        <w:tc>
          <w:tcPr>
            <w:tcW w:w="849" w:type="dxa"/>
          </w:tcPr>
          <w:p w:rsidR="005858C8" w:rsidRPr="00480697" w:rsidRDefault="005858C8" w:rsidP="00D73466">
            <w:pPr>
              <w:jc w:val="center"/>
            </w:pPr>
            <w:r w:rsidRPr="00480697">
              <w:t>0.18</w:t>
            </w:r>
          </w:p>
        </w:tc>
        <w:tc>
          <w:tcPr>
            <w:tcW w:w="850" w:type="dxa"/>
          </w:tcPr>
          <w:p w:rsidR="005858C8" w:rsidRDefault="005858C8" w:rsidP="00D73466">
            <w:pPr>
              <w:jc w:val="center"/>
            </w:pPr>
            <w:r w:rsidRPr="00480697">
              <w:t>0.13</w:t>
            </w:r>
          </w:p>
        </w:tc>
      </w:tr>
      <w:tr w:rsidR="005858C8" w:rsidRPr="00D31979" w:rsidTr="00D73466">
        <w:tc>
          <w:tcPr>
            <w:tcW w:w="2286" w:type="dxa"/>
          </w:tcPr>
          <w:p w:rsidR="005858C8" w:rsidRPr="00D31979" w:rsidRDefault="005858C8" w:rsidP="00D73466">
            <w:pPr>
              <w:keepNext/>
              <w:rPr>
                <w:lang w:val="en-GB"/>
              </w:rPr>
            </w:pPr>
            <w:r w:rsidRPr="00D31979">
              <w:rPr>
                <w:lang w:val="en-GB"/>
              </w:rPr>
              <w:t xml:space="preserve"> 2.2. Innovations and entrepreneurship</w:t>
            </w:r>
          </w:p>
        </w:tc>
        <w:tc>
          <w:tcPr>
            <w:tcW w:w="849" w:type="dxa"/>
          </w:tcPr>
          <w:p w:rsidR="005858C8" w:rsidRPr="00BB3D7B" w:rsidRDefault="005858C8" w:rsidP="00D73466">
            <w:pPr>
              <w:jc w:val="center"/>
            </w:pPr>
            <w:r w:rsidRPr="00BB3D7B">
              <w:t>0.00</w:t>
            </w:r>
          </w:p>
        </w:tc>
        <w:tc>
          <w:tcPr>
            <w:tcW w:w="849" w:type="dxa"/>
          </w:tcPr>
          <w:p w:rsidR="005858C8" w:rsidRPr="00BB3D7B" w:rsidRDefault="005858C8" w:rsidP="00D73466">
            <w:pPr>
              <w:jc w:val="center"/>
            </w:pPr>
            <w:r w:rsidRPr="00BB3D7B">
              <w:t>0.03</w:t>
            </w:r>
          </w:p>
        </w:tc>
        <w:tc>
          <w:tcPr>
            <w:tcW w:w="849" w:type="dxa"/>
          </w:tcPr>
          <w:p w:rsidR="005858C8" w:rsidRPr="00BB3D7B" w:rsidRDefault="005858C8" w:rsidP="00D73466">
            <w:pPr>
              <w:jc w:val="center"/>
            </w:pPr>
            <w:r w:rsidRPr="00BB3D7B">
              <w:t>0.19</w:t>
            </w:r>
          </w:p>
        </w:tc>
        <w:tc>
          <w:tcPr>
            <w:tcW w:w="849" w:type="dxa"/>
          </w:tcPr>
          <w:p w:rsidR="005858C8" w:rsidRPr="00BB3D7B" w:rsidRDefault="005858C8" w:rsidP="00D73466">
            <w:pPr>
              <w:jc w:val="center"/>
            </w:pPr>
            <w:r w:rsidRPr="00BB3D7B">
              <w:t>0.53</w:t>
            </w:r>
          </w:p>
        </w:tc>
        <w:tc>
          <w:tcPr>
            <w:tcW w:w="850" w:type="dxa"/>
          </w:tcPr>
          <w:p w:rsidR="005858C8" w:rsidRPr="00BB3D7B" w:rsidRDefault="005858C8" w:rsidP="00D73466">
            <w:pPr>
              <w:jc w:val="center"/>
            </w:pPr>
            <w:r w:rsidRPr="00BB3D7B">
              <w:t>0.89</w:t>
            </w:r>
          </w:p>
        </w:tc>
        <w:tc>
          <w:tcPr>
            <w:tcW w:w="849" w:type="dxa"/>
          </w:tcPr>
          <w:p w:rsidR="005858C8" w:rsidRPr="00BB3D7B" w:rsidRDefault="005858C8" w:rsidP="00D73466">
            <w:pPr>
              <w:jc w:val="center"/>
            </w:pPr>
            <w:r w:rsidRPr="00BB3D7B">
              <w:t>0.58</w:t>
            </w:r>
          </w:p>
        </w:tc>
        <w:tc>
          <w:tcPr>
            <w:tcW w:w="849" w:type="dxa"/>
          </w:tcPr>
          <w:p w:rsidR="005858C8" w:rsidRPr="00BB3D7B" w:rsidRDefault="005858C8" w:rsidP="00D73466">
            <w:pPr>
              <w:jc w:val="center"/>
            </w:pPr>
            <w:r w:rsidRPr="00BB3D7B">
              <w:t>0.41</w:t>
            </w:r>
          </w:p>
        </w:tc>
        <w:tc>
          <w:tcPr>
            <w:tcW w:w="849" w:type="dxa"/>
          </w:tcPr>
          <w:p w:rsidR="005858C8" w:rsidRPr="00BB3D7B" w:rsidRDefault="005858C8" w:rsidP="00D73466">
            <w:pPr>
              <w:jc w:val="center"/>
            </w:pPr>
            <w:r w:rsidRPr="00BB3D7B">
              <w:t>0.35</w:t>
            </w:r>
          </w:p>
        </w:tc>
        <w:tc>
          <w:tcPr>
            <w:tcW w:w="849" w:type="dxa"/>
          </w:tcPr>
          <w:p w:rsidR="005858C8" w:rsidRPr="00BB3D7B" w:rsidRDefault="005858C8" w:rsidP="00D73466">
            <w:pPr>
              <w:jc w:val="center"/>
            </w:pPr>
            <w:r w:rsidRPr="00BB3D7B">
              <w:t>0.28</w:t>
            </w:r>
          </w:p>
        </w:tc>
        <w:tc>
          <w:tcPr>
            <w:tcW w:w="850" w:type="dxa"/>
          </w:tcPr>
          <w:p w:rsidR="005858C8" w:rsidRPr="00BB3D7B" w:rsidRDefault="005858C8" w:rsidP="00D73466">
            <w:pPr>
              <w:jc w:val="center"/>
            </w:pPr>
            <w:r w:rsidRPr="00BB3D7B">
              <w:t>0.21</w:t>
            </w:r>
          </w:p>
        </w:tc>
        <w:tc>
          <w:tcPr>
            <w:tcW w:w="849" w:type="dxa"/>
          </w:tcPr>
          <w:p w:rsidR="005858C8" w:rsidRPr="00BB3D7B" w:rsidRDefault="005858C8" w:rsidP="00D73466">
            <w:pPr>
              <w:jc w:val="center"/>
            </w:pPr>
            <w:r w:rsidRPr="00BB3D7B">
              <w:t>0.14</w:t>
            </w:r>
          </w:p>
        </w:tc>
        <w:tc>
          <w:tcPr>
            <w:tcW w:w="849" w:type="dxa"/>
          </w:tcPr>
          <w:p w:rsidR="005858C8" w:rsidRPr="00BB3D7B" w:rsidRDefault="005858C8" w:rsidP="00D73466">
            <w:pPr>
              <w:jc w:val="center"/>
            </w:pPr>
            <w:r w:rsidRPr="00BB3D7B">
              <w:t>0.09</w:t>
            </w:r>
          </w:p>
        </w:tc>
        <w:tc>
          <w:tcPr>
            <w:tcW w:w="849" w:type="dxa"/>
          </w:tcPr>
          <w:p w:rsidR="005858C8" w:rsidRPr="00BB3D7B" w:rsidRDefault="005858C8" w:rsidP="00D73466">
            <w:pPr>
              <w:jc w:val="center"/>
            </w:pPr>
            <w:r w:rsidRPr="00BB3D7B">
              <w:t>0.07</w:t>
            </w:r>
          </w:p>
        </w:tc>
        <w:tc>
          <w:tcPr>
            <w:tcW w:w="850" w:type="dxa"/>
          </w:tcPr>
          <w:p w:rsidR="005858C8" w:rsidRDefault="005858C8" w:rsidP="00D73466">
            <w:pPr>
              <w:jc w:val="center"/>
            </w:pPr>
            <w:r w:rsidRPr="00BB3D7B">
              <w:t>0.05</w:t>
            </w:r>
          </w:p>
        </w:tc>
      </w:tr>
      <w:tr w:rsidR="005858C8" w:rsidRPr="00D31979" w:rsidTr="00D73466">
        <w:tc>
          <w:tcPr>
            <w:tcW w:w="2286" w:type="dxa"/>
          </w:tcPr>
          <w:p w:rsidR="005858C8" w:rsidRPr="00D31979" w:rsidRDefault="005858C8" w:rsidP="00D73466">
            <w:pPr>
              <w:keepNext/>
              <w:rPr>
                <w:lang w:val="en-GB"/>
              </w:rPr>
            </w:pPr>
            <w:r w:rsidRPr="00D31979">
              <w:rPr>
                <w:lang w:val="en-GB"/>
              </w:rPr>
              <w:t xml:space="preserve"> 2.3. Information society</w:t>
            </w:r>
          </w:p>
        </w:tc>
        <w:tc>
          <w:tcPr>
            <w:tcW w:w="849" w:type="dxa"/>
          </w:tcPr>
          <w:p w:rsidR="005858C8" w:rsidRPr="00697687" w:rsidRDefault="005858C8" w:rsidP="00D73466">
            <w:pPr>
              <w:jc w:val="center"/>
            </w:pPr>
            <w:r w:rsidRPr="00697687">
              <w:t>0.00</w:t>
            </w:r>
          </w:p>
        </w:tc>
        <w:tc>
          <w:tcPr>
            <w:tcW w:w="849" w:type="dxa"/>
          </w:tcPr>
          <w:p w:rsidR="005858C8" w:rsidRPr="00697687" w:rsidRDefault="005858C8" w:rsidP="00D73466">
            <w:pPr>
              <w:jc w:val="center"/>
            </w:pPr>
            <w:r w:rsidRPr="00697687">
              <w:t>0.00</w:t>
            </w:r>
          </w:p>
        </w:tc>
        <w:tc>
          <w:tcPr>
            <w:tcW w:w="849" w:type="dxa"/>
          </w:tcPr>
          <w:p w:rsidR="005858C8" w:rsidRPr="00697687" w:rsidRDefault="005858C8" w:rsidP="00D73466">
            <w:pPr>
              <w:jc w:val="center"/>
            </w:pPr>
            <w:r w:rsidRPr="00697687">
              <w:t>0.02</w:t>
            </w:r>
          </w:p>
        </w:tc>
        <w:tc>
          <w:tcPr>
            <w:tcW w:w="849" w:type="dxa"/>
          </w:tcPr>
          <w:p w:rsidR="005858C8" w:rsidRPr="00697687" w:rsidRDefault="005858C8" w:rsidP="00D73466">
            <w:pPr>
              <w:jc w:val="center"/>
            </w:pPr>
            <w:r w:rsidRPr="00697687">
              <w:t>0.11</w:t>
            </w:r>
          </w:p>
        </w:tc>
        <w:tc>
          <w:tcPr>
            <w:tcW w:w="850" w:type="dxa"/>
          </w:tcPr>
          <w:p w:rsidR="005858C8" w:rsidRPr="00697687" w:rsidRDefault="005858C8" w:rsidP="00D73466">
            <w:pPr>
              <w:jc w:val="center"/>
            </w:pPr>
            <w:r w:rsidRPr="00697687">
              <w:t>0.22</w:t>
            </w:r>
          </w:p>
        </w:tc>
        <w:tc>
          <w:tcPr>
            <w:tcW w:w="849" w:type="dxa"/>
          </w:tcPr>
          <w:p w:rsidR="005858C8" w:rsidRPr="00697687" w:rsidRDefault="005858C8" w:rsidP="00D73466">
            <w:pPr>
              <w:jc w:val="center"/>
            </w:pPr>
            <w:r w:rsidRPr="00697687">
              <w:t>0.25</w:t>
            </w:r>
          </w:p>
        </w:tc>
        <w:tc>
          <w:tcPr>
            <w:tcW w:w="849" w:type="dxa"/>
          </w:tcPr>
          <w:p w:rsidR="005858C8" w:rsidRPr="00697687" w:rsidRDefault="005858C8" w:rsidP="00D73466">
            <w:pPr>
              <w:jc w:val="center"/>
            </w:pPr>
            <w:r w:rsidRPr="00697687">
              <w:t>0.24</w:t>
            </w:r>
          </w:p>
        </w:tc>
        <w:tc>
          <w:tcPr>
            <w:tcW w:w="849" w:type="dxa"/>
          </w:tcPr>
          <w:p w:rsidR="005858C8" w:rsidRPr="00697687" w:rsidRDefault="005858C8" w:rsidP="00D73466">
            <w:pPr>
              <w:jc w:val="center"/>
            </w:pPr>
            <w:r w:rsidRPr="00697687">
              <w:t>0.23</w:t>
            </w:r>
          </w:p>
        </w:tc>
        <w:tc>
          <w:tcPr>
            <w:tcW w:w="849" w:type="dxa"/>
          </w:tcPr>
          <w:p w:rsidR="005858C8" w:rsidRPr="00697687" w:rsidRDefault="005858C8" w:rsidP="00D73466">
            <w:pPr>
              <w:jc w:val="center"/>
            </w:pPr>
            <w:r w:rsidRPr="00697687">
              <w:t>0.19</w:t>
            </w:r>
          </w:p>
        </w:tc>
        <w:tc>
          <w:tcPr>
            <w:tcW w:w="850" w:type="dxa"/>
          </w:tcPr>
          <w:p w:rsidR="005858C8" w:rsidRPr="00697687" w:rsidRDefault="005858C8" w:rsidP="00D73466">
            <w:pPr>
              <w:jc w:val="center"/>
            </w:pPr>
            <w:r w:rsidRPr="00697687">
              <w:t>0.13</w:t>
            </w:r>
          </w:p>
        </w:tc>
        <w:tc>
          <w:tcPr>
            <w:tcW w:w="849" w:type="dxa"/>
          </w:tcPr>
          <w:p w:rsidR="005858C8" w:rsidRPr="00697687" w:rsidRDefault="005858C8" w:rsidP="00D73466">
            <w:pPr>
              <w:jc w:val="center"/>
            </w:pPr>
            <w:r w:rsidRPr="00697687">
              <w:t>0.09</w:t>
            </w:r>
          </w:p>
        </w:tc>
        <w:tc>
          <w:tcPr>
            <w:tcW w:w="849" w:type="dxa"/>
          </w:tcPr>
          <w:p w:rsidR="005858C8" w:rsidRPr="00697687" w:rsidRDefault="005858C8" w:rsidP="00D73466">
            <w:pPr>
              <w:jc w:val="center"/>
            </w:pPr>
            <w:r w:rsidRPr="00697687">
              <w:t>0.07</w:t>
            </w:r>
          </w:p>
        </w:tc>
        <w:tc>
          <w:tcPr>
            <w:tcW w:w="849" w:type="dxa"/>
          </w:tcPr>
          <w:p w:rsidR="005858C8" w:rsidRPr="00697687" w:rsidRDefault="005858C8" w:rsidP="00D73466">
            <w:pPr>
              <w:jc w:val="center"/>
            </w:pPr>
            <w:r w:rsidRPr="00697687">
              <w:t>0.06</w:t>
            </w:r>
          </w:p>
        </w:tc>
        <w:tc>
          <w:tcPr>
            <w:tcW w:w="850" w:type="dxa"/>
          </w:tcPr>
          <w:p w:rsidR="005858C8" w:rsidRDefault="005858C8" w:rsidP="00D73466">
            <w:pPr>
              <w:jc w:val="center"/>
            </w:pPr>
            <w:r w:rsidRPr="00697687">
              <w:t>0.05</w:t>
            </w:r>
          </w:p>
        </w:tc>
      </w:tr>
      <w:tr w:rsidR="005858C8" w:rsidRPr="00D31979" w:rsidTr="00D73466">
        <w:tc>
          <w:tcPr>
            <w:tcW w:w="2286" w:type="dxa"/>
          </w:tcPr>
          <w:p w:rsidR="005858C8" w:rsidRPr="00D31979" w:rsidRDefault="005858C8" w:rsidP="00D73466">
            <w:pPr>
              <w:keepNext/>
              <w:rPr>
                <w:lang w:val="en-GB"/>
              </w:rPr>
            </w:pPr>
            <w:r w:rsidRPr="00D31979">
              <w:rPr>
                <w:lang w:val="en-GB"/>
              </w:rPr>
              <w:t xml:space="preserve"> 2.4. Transport</w:t>
            </w:r>
          </w:p>
        </w:tc>
        <w:tc>
          <w:tcPr>
            <w:tcW w:w="849" w:type="dxa"/>
          </w:tcPr>
          <w:p w:rsidR="005858C8" w:rsidRPr="00171367" w:rsidRDefault="005858C8" w:rsidP="00D73466">
            <w:pPr>
              <w:jc w:val="center"/>
            </w:pPr>
            <w:r w:rsidRPr="00171367">
              <w:t>1.44</w:t>
            </w:r>
          </w:p>
        </w:tc>
        <w:tc>
          <w:tcPr>
            <w:tcW w:w="849" w:type="dxa"/>
          </w:tcPr>
          <w:p w:rsidR="005858C8" w:rsidRPr="00171367" w:rsidRDefault="005858C8" w:rsidP="00D73466">
            <w:pPr>
              <w:jc w:val="center"/>
            </w:pPr>
            <w:r w:rsidRPr="00171367">
              <w:t>1.59</w:t>
            </w:r>
          </w:p>
        </w:tc>
        <w:tc>
          <w:tcPr>
            <w:tcW w:w="849" w:type="dxa"/>
          </w:tcPr>
          <w:p w:rsidR="005858C8" w:rsidRPr="00171367" w:rsidRDefault="005858C8" w:rsidP="00D73466">
            <w:pPr>
              <w:jc w:val="center"/>
            </w:pPr>
            <w:r w:rsidRPr="00171367">
              <w:t>1.69</w:t>
            </w:r>
          </w:p>
        </w:tc>
        <w:tc>
          <w:tcPr>
            <w:tcW w:w="849" w:type="dxa"/>
          </w:tcPr>
          <w:p w:rsidR="005858C8" w:rsidRPr="00171367" w:rsidRDefault="005858C8" w:rsidP="00D73466">
            <w:pPr>
              <w:jc w:val="center"/>
            </w:pPr>
            <w:r w:rsidRPr="00171367">
              <w:t>1.92</w:t>
            </w:r>
          </w:p>
        </w:tc>
        <w:tc>
          <w:tcPr>
            <w:tcW w:w="850" w:type="dxa"/>
          </w:tcPr>
          <w:p w:rsidR="005858C8" w:rsidRPr="00171367" w:rsidRDefault="005858C8" w:rsidP="00D73466">
            <w:pPr>
              <w:jc w:val="center"/>
            </w:pPr>
            <w:r w:rsidRPr="00171367">
              <w:t>2.36</w:t>
            </w:r>
          </w:p>
        </w:tc>
        <w:tc>
          <w:tcPr>
            <w:tcW w:w="849" w:type="dxa"/>
          </w:tcPr>
          <w:p w:rsidR="005858C8" w:rsidRPr="00171367" w:rsidRDefault="005858C8" w:rsidP="00D73466">
            <w:pPr>
              <w:jc w:val="center"/>
            </w:pPr>
            <w:r w:rsidRPr="00171367">
              <w:t>2.63</w:t>
            </w:r>
          </w:p>
        </w:tc>
        <w:tc>
          <w:tcPr>
            <w:tcW w:w="849" w:type="dxa"/>
          </w:tcPr>
          <w:p w:rsidR="005858C8" w:rsidRPr="00171367" w:rsidRDefault="005858C8" w:rsidP="00D73466">
            <w:pPr>
              <w:jc w:val="center"/>
            </w:pPr>
            <w:r w:rsidRPr="00171367">
              <w:t>2.22</w:t>
            </w:r>
          </w:p>
        </w:tc>
        <w:tc>
          <w:tcPr>
            <w:tcW w:w="849" w:type="dxa"/>
          </w:tcPr>
          <w:p w:rsidR="005858C8" w:rsidRPr="00171367" w:rsidRDefault="005858C8" w:rsidP="00D73466">
            <w:pPr>
              <w:jc w:val="center"/>
            </w:pPr>
            <w:r w:rsidRPr="00171367">
              <w:t>1.81</w:t>
            </w:r>
          </w:p>
        </w:tc>
        <w:tc>
          <w:tcPr>
            <w:tcW w:w="849" w:type="dxa"/>
          </w:tcPr>
          <w:p w:rsidR="005858C8" w:rsidRPr="00171367" w:rsidRDefault="005858C8" w:rsidP="00D73466">
            <w:pPr>
              <w:jc w:val="center"/>
            </w:pPr>
            <w:r w:rsidRPr="00171367">
              <w:t>1.43</w:t>
            </w:r>
          </w:p>
        </w:tc>
        <w:tc>
          <w:tcPr>
            <w:tcW w:w="850" w:type="dxa"/>
          </w:tcPr>
          <w:p w:rsidR="005858C8" w:rsidRPr="00171367" w:rsidRDefault="005858C8" w:rsidP="00D73466">
            <w:pPr>
              <w:jc w:val="center"/>
            </w:pPr>
            <w:r w:rsidRPr="00171367">
              <w:t>1.03</w:t>
            </w:r>
          </w:p>
        </w:tc>
        <w:tc>
          <w:tcPr>
            <w:tcW w:w="849" w:type="dxa"/>
          </w:tcPr>
          <w:p w:rsidR="005858C8" w:rsidRPr="00171367" w:rsidRDefault="005858C8" w:rsidP="00D73466">
            <w:pPr>
              <w:jc w:val="center"/>
            </w:pPr>
            <w:r w:rsidRPr="00171367">
              <w:t>0.74</w:t>
            </w:r>
          </w:p>
        </w:tc>
        <w:tc>
          <w:tcPr>
            <w:tcW w:w="849" w:type="dxa"/>
          </w:tcPr>
          <w:p w:rsidR="005858C8" w:rsidRPr="00171367" w:rsidRDefault="005858C8" w:rsidP="00D73466">
            <w:pPr>
              <w:jc w:val="center"/>
            </w:pPr>
            <w:r w:rsidRPr="00171367">
              <w:t>0.58</w:t>
            </w:r>
          </w:p>
        </w:tc>
        <w:tc>
          <w:tcPr>
            <w:tcW w:w="849" w:type="dxa"/>
          </w:tcPr>
          <w:p w:rsidR="005858C8" w:rsidRPr="00171367" w:rsidRDefault="005858C8" w:rsidP="00D73466">
            <w:pPr>
              <w:jc w:val="center"/>
            </w:pPr>
            <w:r w:rsidRPr="00171367">
              <w:t>0.50</w:t>
            </w:r>
          </w:p>
        </w:tc>
        <w:tc>
          <w:tcPr>
            <w:tcW w:w="850" w:type="dxa"/>
          </w:tcPr>
          <w:p w:rsidR="005858C8" w:rsidRDefault="005858C8" w:rsidP="00D73466">
            <w:pPr>
              <w:jc w:val="center"/>
            </w:pPr>
            <w:r w:rsidRPr="00171367">
              <w:t>0.44</w:t>
            </w:r>
          </w:p>
        </w:tc>
      </w:tr>
      <w:tr w:rsidR="005858C8" w:rsidRPr="00D31979" w:rsidTr="00D73466">
        <w:tc>
          <w:tcPr>
            <w:tcW w:w="2286" w:type="dxa"/>
          </w:tcPr>
          <w:p w:rsidR="005858C8" w:rsidRPr="00D31979" w:rsidRDefault="005858C8" w:rsidP="00D73466">
            <w:pPr>
              <w:keepNext/>
              <w:rPr>
                <w:lang w:val="en-GB"/>
              </w:rPr>
            </w:pPr>
            <w:r w:rsidRPr="00D31979">
              <w:rPr>
                <w:lang w:val="en-GB"/>
              </w:rPr>
              <w:t xml:space="preserve"> 2.5. Energy</w:t>
            </w:r>
          </w:p>
        </w:tc>
        <w:tc>
          <w:tcPr>
            <w:tcW w:w="849" w:type="dxa"/>
          </w:tcPr>
          <w:p w:rsidR="005858C8" w:rsidRPr="009968DD" w:rsidRDefault="005858C8" w:rsidP="00D73466">
            <w:pPr>
              <w:jc w:val="center"/>
            </w:pPr>
            <w:r w:rsidRPr="009968DD">
              <w:t>0.00</w:t>
            </w:r>
          </w:p>
        </w:tc>
        <w:tc>
          <w:tcPr>
            <w:tcW w:w="849" w:type="dxa"/>
          </w:tcPr>
          <w:p w:rsidR="005858C8" w:rsidRPr="009968DD" w:rsidRDefault="005858C8" w:rsidP="00D73466">
            <w:pPr>
              <w:jc w:val="center"/>
            </w:pPr>
            <w:r w:rsidRPr="009968DD">
              <w:t>0.00</w:t>
            </w:r>
          </w:p>
        </w:tc>
        <w:tc>
          <w:tcPr>
            <w:tcW w:w="849" w:type="dxa"/>
          </w:tcPr>
          <w:p w:rsidR="005858C8" w:rsidRPr="009968DD" w:rsidRDefault="005858C8" w:rsidP="00D73466">
            <w:pPr>
              <w:jc w:val="center"/>
            </w:pPr>
            <w:r w:rsidRPr="009968DD">
              <w:t>0.00</w:t>
            </w:r>
          </w:p>
        </w:tc>
        <w:tc>
          <w:tcPr>
            <w:tcW w:w="849" w:type="dxa"/>
          </w:tcPr>
          <w:p w:rsidR="005858C8" w:rsidRPr="009968DD" w:rsidRDefault="005858C8" w:rsidP="00D73466">
            <w:pPr>
              <w:jc w:val="center"/>
            </w:pPr>
            <w:r w:rsidRPr="009968DD">
              <w:t>0.03</w:t>
            </w:r>
          </w:p>
        </w:tc>
        <w:tc>
          <w:tcPr>
            <w:tcW w:w="850" w:type="dxa"/>
          </w:tcPr>
          <w:p w:rsidR="005858C8" w:rsidRPr="009968DD" w:rsidRDefault="005858C8" w:rsidP="00D73466">
            <w:pPr>
              <w:jc w:val="center"/>
            </w:pPr>
            <w:r w:rsidRPr="009968DD">
              <w:t>0.09</w:t>
            </w:r>
          </w:p>
        </w:tc>
        <w:tc>
          <w:tcPr>
            <w:tcW w:w="849" w:type="dxa"/>
          </w:tcPr>
          <w:p w:rsidR="005858C8" w:rsidRPr="009968DD" w:rsidRDefault="005858C8" w:rsidP="00D73466">
            <w:pPr>
              <w:jc w:val="center"/>
            </w:pPr>
            <w:r w:rsidRPr="009968DD">
              <w:t>0.10</w:t>
            </w:r>
          </w:p>
        </w:tc>
        <w:tc>
          <w:tcPr>
            <w:tcW w:w="849" w:type="dxa"/>
          </w:tcPr>
          <w:p w:rsidR="005858C8" w:rsidRPr="009968DD" w:rsidRDefault="005858C8" w:rsidP="00D73466">
            <w:pPr>
              <w:jc w:val="center"/>
            </w:pPr>
            <w:r w:rsidRPr="009968DD">
              <w:t>0.25</w:t>
            </w:r>
          </w:p>
        </w:tc>
        <w:tc>
          <w:tcPr>
            <w:tcW w:w="849" w:type="dxa"/>
          </w:tcPr>
          <w:p w:rsidR="005858C8" w:rsidRPr="009968DD" w:rsidRDefault="005858C8" w:rsidP="00D73466">
            <w:pPr>
              <w:jc w:val="center"/>
            </w:pPr>
            <w:r w:rsidRPr="009968DD">
              <w:t>0.08</w:t>
            </w:r>
          </w:p>
        </w:tc>
        <w:tc>
          <w:tcPr>
            <w:tcW w:w="849" w:type="dxa"/>
          </w:tcPr>
          <w:p w:rsidR="005858C8" w:rsidRPr="009968DD" w:rsidRDefault="005858C8" w:rsidP="00D73466">
            <w:pPr>
              <w:jc w:val="center"/>
            </w:pPr>
            <w:r w:rsidRPr="009968DD">
              <w:t>-0.01</w:t>
            </w:r>
          </w:p>
        </w:tc>
        <w:tc>
          <w:tcPr>
            <w:tcW w:w="850" w:type="dxa"/>
          </w:tcPr>
          <w:p w:rsidR="005858C8" w:rsidRPr="009968DD" w:rsidRDefault="005858C8" w:rsidP="00D73466">
            <w:pPr>
              <w:jc w:val="center"/>
            </w:pPr>
            <w:r w:rsidRPr="009968DD">
              <w:t>0.00</w:t>
            </w:r>
          </w:p>
        </w:tc>
        <w:tc>
          <w:tcPr>
            <w:tcW w:w="849" w:type="dxa"/>
          </w:tcPr>
          <w:p w:rsidR="005858C8" w:rsidRPr="009968DD" w:rsidRDefault="005858C8" w:rsidP="00D73466">
            <w:pPr>
              <w:jc w:val="center"/>
            </w:pPr>
            <w:r w:rsidRPr="009968DD">
              <w:t>0.01</w:t>
            </w:r>
          </w:p>
        </w:tc>
        <w:tc>
          <w:tcPr>
            <w:tcW w:w="849" w:type="dxa"/>
          </w:tcPr>
          <w:p w:rsidR="005858C8" w:rsidRPr="009968DD" w:rsidRDefault="005858C8" w:rsidP="00D73466">
            <w:pPr>
              <w:jc w:val="center"/>
            </w:pPr>
            <w:r w:rsidRPr="009968DD">
              <w:t>0.02</w:t>
            </w:r>
          </w:p>
        </w:tc>
        <w:tc>
          <w:tcPr>
            <w:tcW w:w="849" w:type="dxa"/>
          </w:tcPr>
          <w:p w:rsidR="005858C8" w:rsidRPr="009968DD" w:rsidRDefault="005858C8" w:rsidP="00D73466">
            <w:pPr>
              <w:jc w:val="center"/>
            </w:pPr>
            <w:r w:rsidRPr="009968DD">
              <w:t>0.02</w:t>
            </w:r>
          </w:p>
        </w:tc>
        <w:tc>
          <w:tcPr>
            <w:tcW w:w="850" w:type="dxa"/>
          </w:tcPr>
          <w:p w:rsidR="005858C8" w:rsidRDefault="005858C8" w:rsidP="00D73466">
            <w:pPr>
              <w:jc w:val="center"/>
            </w:pPr>
            <w:r w:rsidRPr="009968DD">
              <w:t>0.02</w:t>
            </w:r>
          </w:p>
        </w:tc>
      </w:tr>
      <w:tr w:rsidR="005858C8" w:rsidRPr="00D31979" w:rsidTr="00D73466">
        <w:tc>
          <w:tcPr>
            <w:tcW w:w="2286" w:type="dxa"/>
          </w:tcPr>
          <w:p w:rsidR="005858C8" w:rsidRPr="00D31979" w:rsidRDefault="005858C8" w:rsidP="00D73466">
            <w:pPr>
              <w:keepNext/>
              <w:rPr>
                <w:lang w:val="en-GB"/>
              </w:rPr>
            </w:pPr>
            <w:r w:rsidRPr="00D31979">
              <w:rPr>
                <w:lang w:val="en-GB"/>
              </w:rPr>
              <w:t xml:space="preserve"> 2.6. Environmental protection and risk reduction</w:t>
            </w:r>
          </w:p>
        </w:tc>
        <w:tc>
          <w:tcPr>
            <w:tcW w:w="849" w:type="dxa"/>
          </w:tcPr>
          <w:p w:rsidR="005858C8" w:rsidRPr="00243C95" w:rsidRDefault="005858C8" w:rsidP="00D73466">
            <w:pPr>
              <w:jc w:val="center"/>
            </w:pPr>
            <w:r w:rsidRPr="00243C95">
              <w:t>1.18</w:t>
            </w:r>
          </w:p>
        </w:tc>
        <w:tc>
          <w:tcPr>
            <w:tcW w:w="849" w:type="dxa"/>
          </w:tcPr>
          <w:p w:rsidR="005858C8" w:rsidRPr="00243C95" w:rsidRDefault="005858C8" w:rsidP="00D73466">
            <w:pPr>
              <w:jc w:val="center"/>
            </w:pPr>
            <w:r w:rsidRPr="00243C95">
              <w:t>1.16</w:t>
            </w:r>
          </w:p>
        </w:tc>
        <w:tc>
          <w:tcPr>
            <w:tcW w:w="849" w:type="dxa"/>
          </w:tcPr>
          <w:p w:rsidR="005858C8" w:rsidRPr="00243C95" w:rsidRDefault="005858C8" w:rsidP="00D73466">
            <w:pPr>
              <w:jc w:val="center"/>
            </w:pPr>
            <w:r w:rsidRPr="00243C95">
              <w:t>1.13</w:t>
            </w:r>
          </w:p>
        </w:tc>
        <w:tc>
          <w:tcPr>
            <w:tcW w:w="849" w:type="dxa"/>
          </w:tcPr>
          <w:p w:rsidR="005858C8" w:rsidRPr="00243C95" w:rsidRDefault="005858C8" w:rsidP="00D73466">
            <w:pPr>
              <w:jc w:val="center"/>
            </w:pPr>
            <w:r w:rsidRPr="00243C95">
              <w:t>1.10</w:t>
            </w:r>
          </w:p>
        </w:tc>
        <w:tc>
          <w:tcPr>
            <w:tcW w:w="850" w:type="dxa"/>
          </w:tcPr>
          <w:p w:rsidR="005858C8" w:rsidRPr="00243C95" w:rsidRDefault="005858C8" w:rsidP="00D73466">
            <w:pPr>
              <w:jc w:val="center"/>
            </w:pPr>
            <w:r w:rsidRPr="00243C95">
              <w:t>1.13</w:t>
            </w:r>
          </w:p>
        </w:tc>
        <w:tc>
          <w:tcPr>
            <w:tcW w:w="849" w:type="dxa"/>
          </w:tcPr>
          <w:p w:rsidR="005858C8" w:rsidRPr="00243C95" w:rsidRDefault="005858C8" w:rsidP="00D73466">
            <w:pPr>
              <w:jc w:val="center"/>
            </w:pPr>
            <w:r w:rsidRPr="00243C95">
              <w:t>0.83</w:t>
            </w:r>
          </w:p>
        </w:tc>
        <w:tc>
          <w:tcPr>
            <w:tcW w:w="849" w:type="dxa"/>
          </w:tcPr>
          <w:p w:rsidR="005858C8" w:rsidRPr="00243C95" w:rsidRDefault="005858C8" w:rsidP="00D73466">
            <w:pPr>
              <w:jc w:val="center"/>
            </w:pPr>
            <w:r w:rsidRPr="00243C95">
              <w:t>0.73</w:t>
            </w:r>
          </w:p>
        </w:tc>
        <w:tc>
          <w:tcPr>
            <w:tcW w:w="849" w:type="dxa"/>
          </w:tcPr>
          <w:p w:rsidR="005858C8" w:rsidRPr="00243C95" w:rsidRDefault="005858C8" w:rsidP="00D73466">
            <w:pPr>
              <w:jc w:val="center"/>
            </w:pPr>
            <w:r w:rsidRPr="00243C95">
              <w:t>0.56</w:t>
            </w:r>
          </w:p>
        </w:tc>
        <w:tc>
          <w:tcPr>
            <w:tcW w:w="849" w:type="dxa"/>
          </w:tcPr>
          <w:p w:rsidR="005858C8" w:rsidRPr="00243C95" w:rsidRDefault="005858C8" w:rsidP="00D73466">
            <w:pPr>
              <w:jc w:val="center"/>
            </w:pPr>
            <w:r w:rsidRPr="00243C95">
              <w:t>0.33</w:t>
            </w:r>
          </w:p>
        </w:tc>
        <w:tc>
          <w:tcPr>
            <w:tcW w:w="850" w:type="dxa"/>
          </w:tcPr>
          <w:p w:rsidR="005858C8" w:rsidRPr="00243C95" w:rsidRDefault="005858C8" w:rsidP="00D73466">
            <w:pPr>
              <w:jc w:val="center"/>
            </w:pPr>
            <w:r w:rsidRPr="00243C95">
              <w:t>0.22</w:t>
            </w:r>
          </w:p>
        </w:tc>
        <w:tc>
          <w:tcPr>
            <w:tcW w:w="849" w:type="dxa"/>
          </w:tcPr>
          <w:p w:rsidR="005858C8" w:rsidRPr="00243C95" w:rsidRDefault="005858C8" w:rsidP="00D73466">
            <w:pPr>
              <w:jc w:val="center"/>
            </w:pPr>
            <w:r w:rsidRPr="00243C95">
              <w:t>0.20</w:t>
            </w:r>
          </w:p>
        </w:tc>
        <w:tc>
          <w:tcPr>
            <w:tcW w:w="849" w:type="dxa"/>
          </w:tcPr>
          <w:p w:rsidR="005858C8" w:rsidRPr="00243C95" w:rsidRDefault="005858C8" w:rsidP="00D73466">
            <w:pPr>
              <w:jc w:val="center"/>
            </w:pPr>
            <w:r w:rsidRPr="00243C95">
              <w:t>0.20</w:t>
            </w:r>
          </w:p>
        </w:tc>
        <w:tc>
          <w:tcPr>
            <w:tcW w:w="849" w:type="dxa"/>
          </w:tcPr>
          <w:p w:rsidR="005858C8" w:rsidRPr="00243C95" w:rsidRDefault="005858C8" w:rsidP="00D73466">
            <w:pPr>
              <w:jc w:val="center"/>
            </w:pPr>
            <w:r w:rsidRPr="00243C95">
              <w:t>0.21</w:t>
            </w:r>
          </w:p>
        </w:tc>
        <w:tc>
          <w:tcPr>
            <w:tcW w:w="850" w:type="dxa"/>
          </w:tcPr>
          <w:p w:rsidR="005858C8" w:rsidRDefault="005858C8" w:rsidP="00D73466">
            <w:pPr>
              <w:jc w:val="center"/>
            </w:pPr>
            <w:r w:rsidRPr="00243C95">
              <w:t>0.22</w:t>
            </w:r>
          </w:p>
        </w:tc>
      </w:tr>
      <w:tr w:rsidR="005858C8" w:rsidRPr="00D31979" w:rsidTr="00D73466">
        <w:tc>
          <w:tcPr>
            <w:tcW w:w="2286" w:type="dxa"/>
          </w:tcPr>
          <w:p w:rsidR="005858C8" w:rsidRPr="00D31979" w:rsidRDefault="005858C8" w:rsidP="00D73466">
            <w:pPr>
              <w:keepNext/>
              <w:rPr>
                <w:lang w:val="en-GB"/>
              </w:rPr>
            </w:pPr>
            <w:r w:rsidRPr="00D31979">
              <w:rPr>
                <w:lang w:val="en-GB"/>
              </w:rPr>
              <w:t xml:space="preserve"> 2.7. Human capital, employment, social integration</w:t>
            </w:r>
          </w:p>
        </w:tc>
        <w:tc>
          <w:tcPr>
            <w:tcW w:w="849" w:type="dxa"/>
          </w:tcPr>
          <w:p w:rsidR="005858C8" w:rsidRPr="004A282D" w:rsidRDefault="005858C8" w:rsidP="00D73466">
            <w:pPr>
              <w:jc w:val="center"/>
            </w:pPr>
            <w:r w:rsidRPr="004A282D">
              <w:t>0.01</w:t>
            </w:r>
          </w:p>
        </w:tc>
        <w:tc>
          <w:tcPr>
            <w:tcW w:w="849" w:type="dxa"/>
          </w:tcPr>
          <w:p w:rsidR="005858C8" w:rsidRPr="004A282D" w:rsidRDefault="005858C8" w:rsidP="00D73466">
            <w:pPr>
              <w:jc w:val="center"/>
            </w:pPr>
            <w:r w:rsidRPr="004A282D">
              <w:t>0.05</w:t>
            </w:r>
          </w:p>
        </w:tc>
        <w:tc>
          <w:tcPr>
            <w:tcW w:w="849" w:type="dxa"/>
          </w:tcPr>
          <w:p w:rsidR="005858C8" w:rsidRPr="004A282D" w:rsidRDefault="005858C8" w:rsidP="00D73466">
            <w:pPr>
              <w:jc w:val="center"/>
            </w:pPr>
            <w:r w:rsidRPr="004A282D">
              <w:t>0.17</w:t>
            </w:r>
          </w:p>
        </w:tc>
        <w:tc>
          <w:tcPr>
            <w:tcW w:w="849" w:type="dxa"/>
          </w:tcPr>
          <w:p w:rsidR="005858C8" w:rsidRPr="004A282D" w:rsidRDefault="005858C8" w:rsidP="00D73466">
            <w:pPr>
              <w:jc w:val="center"/>
            </w:pPr>
            <w:r w:rsidRPr="004A282D">
              <w:t>0.60</w:t>
            </w:r>
          </w:p>
        </w:tc>
        <w:tc>
          <w:tcPr>
            <w:tcW w:w="850" w:type="dxa"/>
          </w:tcPr>
          <w:p w:rsidR="005858C8" w:rsidRPr="004A282D" w:rsidRDefault="005858C8" w:rsidP="00D73466">
            <w:pPr>
              <w:jc w:val="center"/>
            </w:pPr>
            <w:r w:rsidRPr="004A282D">
              <w:t>1.01</w:t>
            </w:r>
          </w:p>
        </w:tc>
        <w:tc>
          <w:tcPr>
            <w:tcW w:w="849" w:type="dxa"/>
          </w:tcPr>
          <w:p w:rsidR="005858C8" w:rsidRPr="004A282D" w:rsidRDefault="005858C8" w:rsidP="00D73466">
            <w:pPr>
              <w:jc w:val="center"/>
            </w:pPr>
            <w:r w:rsidRPr="004A282D">
              <w:t>1.12</w:t>
            </w:r>
          </w:p>
        </w:tc>
        <w:tc>
          <w:tcPr>
            <w:tcW w:w="849" w:type="dxa"/>
          </w:tcPr>
          <w:p w:rsidR="005858C8" w:rsidRPr="004A282D" w:rsidRDefault="005858C8" w:rsidP="00D73466">
            <w:pPr>
              <w:jc w:val="center"/>
            </w:pPr>
            <w:r w:rsidRPr="004A282D">
              <w:t>1.11</w:t>
            </w:r>
          </w:p>
        </w:tc>
        <w:tc>
          <w:tcPr>
            <w:tcW w:w="849" w:type="dxa"/>
          </w:tcPr>
          <w:p w:rsidR="005858C8" w:rsidRPr="004A282D" w:rsidRDefault="005858C8" w:rsidP="00D73466">
            <w:pPr>
              <w:jc w:val="center"/>
            </w:pPr>
            <w:r w:rsidRPr="004A282D">
              <w:t>1.07</w:t>
            </w:r>
          </w:p>
        </w:tc>
        <w:tc>
          <w:tcPr>
            <w:tcW w:w="849" w:type="dxa"/>
          </w:tcPr>
          <w:p w:rsidR="005858C8" w:rsidRPr="004A282D" w:rsidRDefault="005858C8" w:rsidP="00D73466">
            <w:pPr>
              <w:jc w:val="center"/>
            </w:pPr>
            <w:r w:rsidRPr="004A282D">
              <w:t>0.80</w:t>
            </w:r>
          </w:p>
        </w:tc>
        <w:tc>
          <w:tcPr>
            <w:tcW w:w="850" w:type="dxa"/>
          </w:tcPr>
          <w:p w:rsidR="005858C8" w:rsidRPr="004A282D" w:rsidRDefault="005858C8" w:rsidP="00D73466">
            <w:pPr>
              <w:jc w:val="center"/>
            </w:pPr>
            <w:r w:rsidRPr="004A282D">
              <w:t>0.59</w:t>
            </w:r>
          </w:p>
        </w:tc>
        <w:tc>
          <w:tcPr>
            <w:tcW w:w="849" w:type="dxa"/>
          </w:tcPr>
          <w:p w:rsidR="005858C8" w:rsidRPr="004A282D" w:rsidRDefault="005858C8" w:rsidP="00D73466">
            <w:pPr>
              <w:jc w:val="center"/>
            </w:pPr>
            <w:r w:rsidRPr="004A282D">
              <w:t>0.44</w:t>
            </w:r>
          </w:p>
        </w:tc>
        <w:tc>
          <w:tcPr>
            <w:tcW w:w="849" w:type="dxa"/>
          </w:tcPr>
          <w:p w:rsidR="005858C8" w:rsidRPr="004A282D" w:rsidRDefault="005858C8" w:rsidP="00D73466">
            <w:pPr>
              <w:jc w:val="center"/>
            </w:pPr>
            <w:r w:rsidRPr="004A282D">
              <w:t>0.35</w:t>
            </w:r>
          </w:p>
        </w:tc>
        <w:tc>
          <w:tcPr>
            <w:tcW w:w="849" w:type="dxa"/>
          </w:tcPr>
          <w:p w:rsidR="005858C8" w:rsidRPr="004A282D" w:rsidRDefault="005858C8" w:rsidP="00D73466">
            <w:pPr>
              <w:jc w:val="center"/>
            </w:pPr>
            <w:r w:rsidRPr="004A282D">
              <w:t>0.30</w:t>
            </w:r>
          </w:p>
        </w:tc>
        <w:tc>
          <w:tcPr>
            <w:tcW w:w="850" w:type="dxa"/>
          </w:tcPr>
          <w:p w:rsidR="005858C8" w:rsidRDefault="005858C8" w:rsidP="00D73466">
            <w:pPr>
              <w:jc w:val="center"/>
            </w:pPr>
            <w:r w:rsidRPr="004A282D">
              <w:t>0.27</w:t>
            </w:r>
          </w:p>
        </w:tc>
      </w:tr>
      <w:tr w:rsidR="005858C8" w:rsidRPr="00D31979" w:rsidTr="00D73466">
        <w:tc>
          <w:tcPr>
            <w:tcW w:w="2286" w:type="dxa"/>
          </w:tcPr>
          <w:p w:rsidR="005858C8" w:rsidRPr="00D31979" w:rsidRDefault="005858C8" w:rsidP="00D73466">
            <w:pPr>
              <w:keepNext/>
              <w:rPr>
                <w:lang w:val="en-GB"/>
              </w:rPr>
            </w:pPr>
            <w:r w:rsidRPr="00D31979">
              <w:rPr>
                <w:lang w:val="en-GB"/>
              </w:rPr>
              <w:t xml:space="preserve"> 2.8. Education</w:t>
            </w:r>
          </w:p>
        </w:tc>
        <w:tc>
          <w:tcPr>
            <w:tcW w:w="849" w:type="dxa"/>
          </w:tcPr>
          <w:p w:rsidR="005858C8" w:rsidRPr="00C87482" w:rsidRDefault="005858C8" w:rsidP="00D73466">
            <w:pPr>
              <w:jc w:val="center"/>
            </w:pPr>
            <w:r w:rsidRPr="00C87482">
              <w:t>0.00</w:t>
            </w:r>
          </w:p>
        </w:tc>
        <w:tc>
          <w:tcPr>
            <w:tcW w:w="849" w:type="dxa"/>
          </w:tcPr>
          <w:p w:rsidR="005858C8" w:rsidRPr="00C87482" w:rsidRDefault="005858C8" w:rsidP="00D73466">
            <w:pPr>
              <w:jc w:val="center"/>
            </w:pPr>
            <w:r w:rsidRPr="00C87482">
              <w:t>0.00</w:t>
            </w:r>
          </w:p>
        </w:tc>
        <w:tc>
          <w:tcPr>
            <w:tcW w:w="849" w:type="dxa"/>
          </w:tcPr>
          <w:p w:rsidR="005858C8" w:rsidRPr="00C87482" w:rsidRDefault="005858C8" w:rsidP="00D73466">
            <w:pPr>
              <w:jc w:val="center"/>
            </w:pPr>
            <w:r w:rsidRPr="00C87482">
              <w:t>0.01</w:t>
            </w:r>
          </w:p>
        </w:tc>
        <w:tc>
          <w:tcPr>
            <w:tcW w:w="849" w:type="dxa"/>
          </w:tcPr>
          <w:p w:rsidR="005858C8" w:rsidRPr="00C87482" w:rsidRDefault="005858C8" w:rsidP="00D73466">
            <w:pPr>
              <w:jc w:val="center"/>
            </w:pPr>
            <w:r w:rsidRPr="00C87482">
              <w:t>0.07</w:t>
            </w:r>
          </w:p>
        </w:tc>
        <w:tc>
          <w:tcPr>
            <w:tcW w:w="850" w:type="dxa"/>
          </w:tcPr>
          <w:p w:rsidR="005858C8" w:rsidRPr="00C87482" w:rsidRDefault="005858C8" w:rsidP="00D73466">
            <w:pPr>
              <w:jc w:val="center"/>
            </w:pPr>
            <w:r w:rsidRPr="00C87482">
              <w:t>0.20</w:t>
            </w:r>
          </w:p>
        </w:tc>
        <w:tc>
          <w:tcPr>
            <w:tcW w:w="849" w:type="dxa"/>
          </w:tcPr>
          <w:p w:rsidR="005858C8" w:rsidRPr="00C87482" w:rsidRDefault="005858C8" w:rsidP="00D73466">
            <w:pPr>
              <w:jc w:val="center"/>
            </w:pPr>
            <w:r w:rsidRPr="00C87482">
              <w:t>0.23</w:t>
            </w:r>
          </w:p>
        </w:tc>
        <w:tc>
          <w:tcPr>
            <w:tcW w:w="849" w:type="dxa"/>
          </w:tcPr>
          <w:p w:rsidR="005858C8" w:rsidRPr="00C87482" w:rsidRDefault="005858C8" w:rsidP="00D73466">
            <w:pPr>
              <w:jc w:val="center"/>
            </w:pPr>
            <w:r w:rsidRPr="00C87482">
              <w:t>0.17</w:t>
            </w:r>
          </w:p>
        </w:tc>
        <w:tc>
          <w:tcPr>
            <w:tcW w:w="849" w:type="dxa"/>
          </w:tcPr>
          <w:p w:rsidR="005858C8" w:rsidRPr="00C87482" w:rsidRDefault="005858C8" w:rsidP="00D73466">
            <w:pPr>
              <w:jc w:val="center"/>
            </w:pPr>
            <w:r w:rsidRPr="00C87482">
              <w:t>0.12</w:t>
            </w:r>
          </w:p>
        </w:tc>
        <w:tc>
          <w:tcPr>
            <w:tcW w:w="849" w:type="dxa"/>
          </w:tcPr>
          <w:p w:rsidR="005858C8" w:rsidRPr="00C87482" w:rsidRDefault="005858C8" w:rsidP="00D73466">
            <w:pPr>
              <w:jc w:val="center"/>
            </w:pPr>
            <w:r w:rsidRPr="00C87482">
              <w:t>0.09</w:t>
            </w:r>
          </w:p>
        </w:tc>
        <w:tc>
          <w:tcPr>
            <w:tcW w:w="850" w:type="dxa"/>
          </w:tcPr>
          <w:p w:rsidR="005858C8" w:rsidRPr="00C87482" w:rsidRDefault="005858C8" w:rsidP="00D73466">
            <w:pPr>
              <w:jc w:val="center"/>
            </w:pPr>
            <w:r w:rsidRPr="00C87482">
              <w:t>0.07</w:t>
            </w:r>
          </w:p>
        </w:tc>
        <w:tc>
          <w:tcPr>
            <w:tcW w:w="849" w:type="dxa"/>
          </w:tcPr>
          <w:p w:rsidR="005858C8" w:rsidRPr="00C87482" w:rsidRDefault="005858C8" w:rsidP="00D73466">
            <w:pPr>
              <w:jc w:val="center"/>
            </w:pPr>
            <w:r w:rsidRPr="00C87482">
              <w:t>0.07</w:t>
            </w:r>
          </w:p>
        </w:tc>
        <w:tc>
          <w:tcPr>
            <w:tcW w:w="849" w:type="dxa"/>
          </w:tcPr>
          <w:p w:rsidR="005858C8" w:rsidRPr="00C87482" w:rsidRDefault="005858C8" w:rsidP="00D73466">
            <w:pPr>
              <w:jc w:val="center"/>
            </w:pPr>
            <w:r w:rsidRPr="00C87482">
              <w:t>0.09</w:t>
            </w:r>
          </w:p>
        </w:tc>
        <w:tc>
          <w:tcPr>
            <w:tcW w:w="849" w:type="dxa"/>
          </w:tcPr>
          <w:p w:rsidR="005858C8" w:rsidRPr="00C87482" w:rsidRDefault="005858C8" w:rsidP="00D73466">
            <w:pPr>
              <w:jc w:val="center"/>
            </w:pPr>
            <w:r w:rsidRPr="00C87482">
              <w:t>0.10</w:t>
            </w:r>
          </w:p>
        </w:tc>
        <w:tc>
          <w:tcPr>
            <w:tcW w:w="850" w:type="dxa"/>
          </w:tcPr>
          <w:p w:rsidR="005858C8" w:rsidRDefault="005858C8" w:rsidP="00D73466">
            <w:pPr>
              <w:jc w:val="center"/>
            </w:pPr>
            <w:r w:rsidRPr="00C87482">
              <w:t>0.12</w:t>
            </w:r>
          </w:p>
        </w:tc>
      </w:tr>
    </w:tbl>
    <w:p w:rsidR="005858C8" w:rsidRPr="00D31979" w:rsidRDefault="005858C8" w:rsidP="005858C8">
      <w:pPr>
        <w:keepNext/>
        <w:spacing w:after="0"/>
        <w:rPr>
          <w:lang w:val="en-GB"/>
        </w:rPr>
      </w:pPr>
      <w:r w:rsidRPr="00D31979">
        <w:rPr>
          <w:lang w:val="en-GB"/>
        </w:rPr>
        <w:t>* Impact calcu</w:t>
      </w:r>
      <w:r>
        <w:rPr>
          <w:lang w:val="en-GB"/>
        </w:rPr>
        <w:t>lated according to equation (3.3</w:t>
      </w:r>
      <w:r w:rsidRPr="00D31979">
        <w:rPr>
          <w:lang w:val="en-GB"/>
        </w:rPr>
        <w:t>)</w:t>
      </w:r>
    </w:p>
    <w:p w:rsidR="005858C8" w:rsidRPr="005858C8" w:rsidRDefault="005858C8" w:rsidP="005858C8">
      <w:pPr>
        <w:rPr>
          <w:lang w:val="en-GB"/>
        </w:rPr>
      </w:pPr>
      <w:r w:rsidRPr="00D31979">
        <w:rPr>
          <w:i/>
          <w:lang w:val="en-GB"/>
        </w:rPr>
        <w:t>Source: authors’ calculations</w:t>
      </w:r>
    </w:p>
    <w:sectPr w:rsidR="005858C8" w:rsidRPr="005858C8" w:rsidSect="00E93F91">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55F" w:rsidRDefault="0075255F" w:rsidP="003072F1">
      <w:pPr>
        <w:spacing w:after="0"/>
      </w:pPr>
      <w:r>
        <w:separator/>
      </w:r>
    </w:p>
  </w:endnote>
  <w:endnote w:type="continuationSeparator" w:id="0">
    <w:p w:rsidR="0075255F" w:rsidRDefault="0075255F" w:rsidP="003072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808611"/>
      <w:docPartObj>
        <w:docPartGallery w:val="Page Numbers (Bottom of Page)"/>
        <w:docPartUnique/>
      </w:docPartObj>
    </w:sdtPr>
    <w:sdtEndPr>
      <w:rPr>
        <w:noProof/>
      </w:rPr>
    </w:sdtEndPr>
    <w:sdtContent>
      <w:p w:rsidR="00D73466" w:rsidRDefault="00D73466">
        <w:pPr>
          <w:pStyle w:val="Footer"/>
          <w:jc w:val="center"/>
        </w:pPr>
        <w:r>
          <w:fldChar w:fldCharType="begin"/>
        </w:r>
        <w:r>
          <w:instrText xml:space="preserve"> PAGE   \* MERGEFORMAT </w:instrText>
        </w:r>
        <w:r>
          <w:fldChar w:fldCharType="separate"/>
        </w:r>
        <w:r w:rsidR="00D55435">
          <w:rPr>
            <w:noProof/>
          </w:rPr>
          <w:t>2</w:t>
        </w:r>
        <w:r>
          <w:rPr>
            <w:noProof/>
          </w:rPr>
          <w:fldChar w:fldCharType="end"/>
        </w:r>
      </w:p>
    </w:sdtContent>
  </w:sdt>
  <w:p w:rsidR="00D73466" w:rsidRDefault="00D73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800941"/>
      <w:docPartObj>
        <w:docPartGallery w:val="Page Numbers (Bottom of Page)"/>
        <w:docPartUnique/>
      </w:docPartObj>
    </w:sdtPr>
    <w:sdtEndPr>
      <w:rPr>
        <w:noProof/>
      </w:rPr>
    </w:sdtEndPr>
    <w:sdtContent>
      <w:p w:rsidR="00D73466" w:rsidRDefault="00D73466">
        <w:pPr>
          <w:pStyle w:val="Footer"/>
          <w:jc w:val="center"/>
        </w:pPr>
        <w:r>
          <w:fldChar w:fldCharType="begin"/>
        </w:r>
        <w:r>
          <w:instrText xml:space="preserve"> PAGE   \* MERGEFORMAT </w:instrText>
        </w:r>
        <w:r>
          <w:fldChar w:fldCharType="separate"/>
        </w:r>
        <w:r w:rsidR="00D55435">
          <w:rPr>
            <w:noProof/>
          </w:rPr>
          <w:t>30</w:t>
        </w:r>
        <w:r>
          <w:rPr>
            <w:noProof/>
          </w:rPr>
          <w:fldChar w:fldCharType="end"/>
        </w:r>
      </w:p>
    </w:sdtContent>
  </w:sdt>
  <w:p w:rsidR="00D73466" w:rsidRDefault="00D73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55F" w:rsidRDefault="0075255F" w:rsidP="003072F1">
      <w:pPr>
        <w:spacing w:after="0"/>
      </w:pPr>
      <w:r>
        <w:separator/>
      </w:r>
    </w:p>
  </w:footnote>
  <w:footnote w:type="continuationSeparator" w:id="0">
    <w:p w:rsidR="0075255F" w:rsidRDefault="0075255F" w:rsidP="003072F1">
      <w:pPr>
        <w:spacing w:after="0"/>
      </w:pPr>
      <w:r>
        <w:continuationSeparator/>
      </w:r>
    </w:p>
  </w:footnote>
  <w:footnote w:id="1">
    <w:p w:rsidR="00D73466" w:rsidRPr="00930571" w:rsidRDefault="00D73466">
      <w:pPr>
        <w:pStyle w:val="FootnoteText"/>
        <w:rPr>
          <w:lang w:val="en-GB"/>
        </w:rPr>
      </w:pPr>
      <w:r>
        <w:rPr>
          <w:rStyle w:val="FootnoteReference"/>
        </w:rPr>
        <w:footnoteRef/>
      </w:r>
      <w:r>
        <w:t xml:space="preserve"> </w:t>
      </w:r>
      <w:r>
        <w:rPr>
          <w:lang w:val="en-GB"/>
        </w:rPr>
        <w:t>In the current programming period Latvia receives funds under the Convergence objective of EU Cohesion Policy and in the post-2013 period will receive funding a  less developed region i.e. as a result of having GDP per capita at less the 75% of the EU average.</w:t>
      </w:r>
    </w:p>
  </w:footnote>
  <w:footnote w:id="2">
    <w:p w:rsidR="00D73466" w:rsidRPr="0006359A" w:rsidRDefault="00D73466">
      <w:pPr>
        <w:pStyle w:val="FootnoteText"/>
        <w:rPr>
          <w:lang w:val="lv-LV"/>
        </w:rPr>
      </w:pPr>
      <w:r>
        <w:rPr>
          <w:rStyle w:val="FootnoteReference"/>
        </w:rPr>
        <w:footnoteRef/>
      </w:r>
      <w:r>
        <w:t xml:space="preserve"> More detailed information on the methodology used for classifying funds is available in the second appendix to the report of the first deliverable.</w:t>
      </w:r>
    </w:p>
  </w:footnote>
  <w:footnote w:id="3">
    <w:p w:rsidR="00D73466" w:rsidRPr="000767D3" w:rsidRDefault="00D73466">
      <w:pPr>
        <w:pStyle w:val="FootnoteText"/>
        <w:rPr>
          <w:lang w:val="en-GB"/>
        </w:rPr>
      </w:pPr>
      <w:r>
        <w:rPr>
          <w:rStyle w:val="FootnoteReference"/>
        </w:rPr>
        <w:footnoteRef/>
      </w:r>
      <w:r>
        <w:t xml:space="preserve"> </w:t>
      </w:r>
      <w:r>
        <w:rPr>
          <w:lang w:val="en-GB"/>
        </w:rPr>
        <w:t>Arguably, if there were no funds the resources used for co-financing would have largely been invested anyway.</w:t>
      </w:r>
    </w:p>
  </w:footnote>
  <w:footnote w:id="4">
    <w:p w:rsidR="00297E37" w:rsidRPr="00297E37" w:rsidRDefault="00297E37">
      <w:pPr>
        <w:pStyle w:val="FootnoteText"/>
      </w:pPr>
      <w:r>
        <w:rPr>
          <w:rStyle w:val="FootnoteReference"/>
        </w:rPr>
        <w:footnoteRef/>
      </w:r>
      <w:r>
        <w:t xml:space="preserve"> This evaluation covers the following financial instruments: European Social Fund, European Regional Development Fund, Cohesion Fund/ISPA, European Agricultural Fund for Rural Development, </w:t>
      </w:r>
      <w:r w:rsidRPr="007C5E65">
        <w:t>European Fisheries Fund</w:t>
      </w:r>
      <w:r>
        <w:t>, European pre-accession financial instruments Phare and SAPARD, INTERREG, Objective 3 “Territorial Cooperation” of the EU Cohesion Policy (ERAF), financial instrument of the European Economic Area, Norwegian Bilateral Financial Instrument, Swiss-Latvian cooperation programme.</w:t>
      </w:r>
    </w:p>
  </w:footnote>
  <w:footnote w:id="5">
    <w:p w:rsidR="00D73466" w:rsidRPr="000767D3" w:rsidRDefault="00D73466">
      <w:pPr>
        <w:pStyle w:val="FootnoteText"/>
        <w:rPr>
          <w:lang w:val="en-GB"/>
        </w:rPr>
      </w:pPr>
      <w:r>
        <w:rPr>
          <w:rStyle w:val="FootnoteReference"/>
        </w:rPr>
        <w:footnoteRef/>
      </w:r>
      <w:r>
        <w:t xml:space="preserve"> </w:t>
      </w:r>
      <w:r>
        <w:rPr>
          <w:lang w:val="en-GB"/>
        </w:rPr>
        <w:t>This is exactly what policy was aimed at after the onset of the recession when the use of EU funds was accelerated and switched towards activities with a more immediate impact.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A95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0624445"/>
    <w:multiLevelType w:val="hybridMultilevel"/>
    <w:tmpl w:val="992A4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31744A"/>
    <w:multiLevelType w:val="multilevel"/>
    <w:tmpl w:val="73643810"/>
    <w:styleLink w:val="Style1"/>
    <w:lvl w:ilvl="0">
      <w:start w:val="1"/>
      <w:numFmt w:val="decimal"/>
      <w:pStyle w:val="Heading1"/>
      <w:lvlText w:val="%1."/>
      <w:lvlJc w:val="left"/>
      <w:pPr>
        <w:ind w:left="360" w:firstLine="0"/>
      </w:pPr>
      <w:rPr>
        <w:rFonts w:hint="default"/>
      </w:rPr>
    </w:lvl>
    <w:lvl w:ilvl="1">
      <w:start w:val="1"/>
      <w:numFmt w:val="decimal"/>
      <w:pStyle w:val="Heading2"/>
      <w:lvlText w:val="%1.%2."/>
      <w:lvlJc w:val="left"/>
      <w:pPr>
        <w:ind w:left="0" w:firstLine="72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D5"/>
    <w:rsid w:val="000014B1"/>
    <w:rsid w:val="00011FF4"/>
    <w:rsid w:val="0002544F"/>
    <w:rsid w:val="00025D1E"/>
    <w:rsid w:val="00025F32"/>
    <w:rsid w:val="000260CA"/>
    <w:rsid w:val="00031188"/>
    <w:rsid w:val="000352FD"/>
    <w:rsid w:val="0004196E"/>
    <w:rsid w:val="00044163"/>
    <w:rsid w:val="0006316D"/>
    <w:rsid w:val="0006359A"/>
    <w:rsid w:val="00074E43"/>
    <w:rsid w:val="000767D3"/>
    <w:rsid w:val="00081465"/>
    <w:rsid w:val="00092E1C"/>
    <w:rsid w:val="00095B43"/>
    <w:rsid w:val="00096DAA"/>
    <w:rsid w:val="000A1AC2"/>
    <w:rsid w:val="000A2CE0"/>
    <w:rsid w:val="000A6F9E"/>
    <w:rsid w:val="000B2C09"/>
    <w:rsid w:val="000B5364"/>
    <w:rsid w:val="000C6C12"/>
    <w:rsid w:val="000C6FA9"/>
    <w:rsid w:val="000D207D"/>
    <w:rsid w:val="000E19AA"/>
    <w:rsid w:val="000E54E4"/>
    <w:rsid w:val="000F0204"/>
    <w:rsid w:val="00103E52"/>
    <w:rsid w:val="001120D2"/>
    <w:rsid w:val="001151A1"/>
    <w:rsid w:val="00120164"/>
    <w:rsid w:val="001301E5"/>
    <w:rsid w:val="0013412C"/>
    <w:rsid w:val="0014297F"/>
    <w:rsid w:val="00145E8D"/>
    <w:rsid w:val="00160B2C"/>
    <w:rsid w:val="00161A44"/>
    <w:rsid w:val="00165B18"/>
    <w:rsid w:val="0017303A"/>
    <w:rsid w:val="00175481"/>
    <w:rsid w:val="00175C86"/>
    <w:rsid w:val="00175F14"/>
    <w:rsid w:val="001827B4"/>
    <w:rsid w:val="0018359B"/>
    <w:rsid w:val="00186E7D"/>
    <w:rsid w:val="00187217"/>
    <w:rsid w:val="001A094B"/>
    <w:rsid w:val="001B67AD"/>
    <w:rsid w:val="001B6E23"/>
    <w:rsid w:val="001C1201"/>
    <w:rsid w:val="001D1676"/>
    <w:rsid w:val="001E2DDA"/>
    <w:rsid w:val="001F500E"/>
    <w:rsid w:val="001F7240"/>
    <w:rsid w:val="00211647"/>
    <w:rsid w:val="002125AC"/>
    <w:rsid w:val="00224259"/>
    <w:rsid w:val="0024784C"/>
    <w:rsid w:val="00253481"/>
    <w:rsid w:val="0026609B"/>
    <w:rsid w:val="002808AA"/>
    <w:rsid w:val="002958A7"/>
    <w:rsid w:val="002969F9"/>
    <w:rsid w:val="00297E37"/>
    <w:rsid w:val="002A40AB"/>
    <w:rsid w:val="002B1925"/>
    <w:rsid w:val="002B25F6"/>
    <w:rsid w:val="002B281A"/>
    <w:rsid w:val="002B3142"/>
    <w:rsid w:val="002B368F"/>
    <w:rsid w:val="002B3CA4"/>
    <w:rsid w:val="002B695B"/>
    <w:rsid w:val="002C2A51"/>
    <w:rsid w:val="002D6072"/>
    <w:rsid w:val="002D616F"/>
    <w:rsid w:val="002D6228"/>
    <w:rsid w:val="002E01E3"/>
    <w:rsid w:val="002E37B9"/>
    <w:rsid w:val="002F1EE5"/>
    <w:rsid w:val="00304405"/>
    <w:rsid w:val="003072F1"/>
    <w:rsid w:val="00313C57"/>
    <w:rsid w:val="00316749"/>
    <w:rsid w:val="00321C58"/>
    <w:rsid w:val="003335AB"/>
    <w:rsid w:val="0033471C"/>
    <w:rsid w:val="00334A5E"/>
    <w:rsid w:val="00336DC9"/>
    <w:rsid w:val="00347554"/>
    <w:rsid w:val="0034772B"/>
    <w:rsid w:val="0034783C"/>
    <w:rsid w:val="0035241B"/>
    <w:rsid w:val="00377454"/>
    <w:rsid w:val="0038353C"/>
    <w:rsid w:val="00393D43"/>
    <w:rsid w:val="003B384C"/>
    <w:rsid w:val="003B5472"/>
    <w:rsid w:val="003B74A8"/>
    <w:rsid w:val="003D2708"/>
    <w:rsid w:val="003D41DC"/>
    <w:rsid w:val="003D4B68"/>
    <w:rsid w:val="003D7E32"/>
    <w:rsid w:val="003E3591"/>
    <w:rsid w:val="003E6371"/>
    <w:rsid w:val="003F2152"/>
    <w:rsid w:val="00404CF0"/>
    <w:rsid w:val="00410570"/>
    <w:rsid w:val="00420640"/>
    <w:rsid w:val="0043185D"/>
    <w:rsid w:val="004326C2"/>
    <w:rsid w:val="00444D0F"/>
    <w:rsid w:val="00446A59"/>
    <w:rsid w:val="004474AB"/>
    <w:rsid w:val="00450C7D"/>
    <w:rsid w:val="00456979"/>
    <w:rsid w:val="00472866"/>
    <w:rsid w:val="00481F52"/>
    <w:rsid w:val="004974A9"/>
    <w:rsid w:val="004979BF"/>
    <w:rsid w:val="004A4E18"/>
    <w:rsid w:val="004A55E2"/>
    <w:rsid w:val="004A67A9"/>
    <w:rsid w:val="004B282D"/>
    <w:rsid w:val="004B5BF7"/>
    <w:rsid w:val="004B668E"/>
    <w:rsid w:val="004C24AB"/>
    <w:rsid w:val="004E55D7"/>
    <w:rsid w:val="004E78EE"/>
    <w:rsid w:val="005046AF"/>
    <w:rsid w:val="00511E9E"/>
    <w:rsid w:val="00512B7A"/>
    <w:rsid w:val="0051342B"/>
    <w:rsid w:val="00515233"/>
    <w:rsid w:val="00523F78"/>
    <w:rsid w:val="00530D1A"/>
    <w:rsid w:val="005407B5"/>
    <w:rsid w:val="00541522"/>
    <w:rsid w:val="00544F38"/>
    <w:rsid w:val="00546D1E"/>
    <w:rsid w:val="0055481A"/>
    <w:rsid w:val="00560B81"/>
    <w:rsid w:val="005659A7"/>
    <w:rsid w:val="00566505"/>
    <w:rsid w:val="00571C8B"/>
    <w:rsid w:val="0057371F"/>
    <w:rsid w:val="00577861"/>
    <w:rsid w:val="00581EAF"/>
    <w:rsid w:val="005820D5"/>
    <w:rsid w:val="00584AA6"/>
    <w:rsid w:val="00585842"/>
    <w:rsid w:val="005858C8"/>
    <w:rsid w:val="00595808"/>
    <w:rsid w:val="005A7CD2"/>
    <w:rsid w:val="005B2E85"/>
    <w:rsid w:val="005C675A"/>
    <w:rsid w:val="005D1BA7"/>
    <w:rsid w:val="005E09FD"/>
    <w:rsid w:val="005E0E46"/>
    <w:rsid w:val="00606417"/>
    <w:rsid w:val="00613E71"/>
    <w:rsid w:val="00622A8D"/>
    <w:rsid w:val="006234DE"/>
    <w:rsid w:val="00623E8A"/>
    <w:rsid w:val="00640A0D"/>
    <w:rsid w:val="0064125D"/>
    <w:rsid w:val="0064212C"/>
    <w:rsid w:val="00642BDE"/>
    <w:rsid w:val="00667D2D"/>
    <w:rsid w:val="00672F20"/>
    <w:rsid w:val="00675BAB"/>
    <w:rsid w:val="006764FD"/>
    <w:rsid w:val="00681981"/>
    <w:rsid w:val="00685390"/>
    <w:rsid w:val="006978FA"/>
    <w:rsid w:val="006A03BC"/>
    <w:rsid w:val="006A245F"/>
    <w:rsid w:val="006A36BF"/>
    <w:rsid w:val="006A78D7"/>
    <w:rsid w:val="006B01EC"/>
    <w:rsid w:val="006B6150"/>
    <w:rsid w:val="006C3F0E"/>
    <w:rsid w:val="006C48D3"/>
    <w:rsid w:val="006C4DA0"/>
    <w:rsid w:val="006C6374"/>
    <w:rsid w:val="006D7944"/>
    <w:rsid w:val="006E0726"/>
    <w:rsid w:val="006F54B3"/>
    <w:rsid w:val="007012AB"/>
    <w:rsid w:val="00702BD6"/>
    <w:rsid w:val="007065DA"/>
    <w:rsid w:val="00713A37"/>
    <w:rsid w:val="00714308"/>
    <w:rsid w:val="00723367"/>
    <w:rsid w:val="00746F4E"/>
    <w:rsid w:val="00751BF6"/>
    <w:rsid w:val="00751FEF"/>
    <w:rsid w:val="0075255F"/>
    <w:rsid w:val="00755CE5"/>
    <w:rsid w:val="007635A8"/>
    <w:rsid w:val="00764B42"/>
    <w:rsid w:val="007803DA"/>
    <w:rsid w:val="007B2A65"/>
    <w:rsid w:val="007C5E65"/>
    <w:rsid w:val="007D2D2D"/>
    <w:rsid w:val="007E1B39"/>
    <w:rsid w:val="007E758B"/>
    <w:rsid w:val="007F0DFD"/>
    <w:rsid w:val="007F35B1"/>
    <w:rsid w:val="007F53D5"/>
    <w:rsid w:val="0080258D"/>
    <w:rsid w:val="00820805"/>
    <w:rsid w:val="008211D7"/>
    <w:rsid w:val="00822114"/>
    <w:rsid w:val="00832706"/>
    <w:rsid w:val="008429BE"/>
    <w:rsid w:val="008455FD"/>
    <w:rsid w:val="00847770"/>
    <w:rsid w:val="00870916"/>
    <w:rsid w:val="00873996"/>
    <w:rsid w:val="008801F1"/>
    <w:rsid w:val="008806E8"/>
    <w:rsid w:val="00883A44"/>
    <w:rsid w:val="00897D11"/>
    <w:rsid w:val="008A1F30"/>
    <w:rsid w:val="008B0DE3"/>
    <w:rsid w:val="008B7883"/>
    <w:rsid w:val="008C2C3E"/>
    <w:rsid w:val="008D17B1"/>
    <w:rsid w:val="008E611D"/>
    <w:rsid w:val="008F6CA1"/>
    <w:rsid w:val="008F7A16"/>
    <w:rsid w:val="0091127A"/>
    <w:rsid w:val="00912A65"/>
    <w:rsid w:val="009168C6"/>
    <w:rsid w:val="00916B25"/>
    <w:rsid w:val="009208DF"/>
    <w:rsid w:val="00930571"/>
    <w:rsid w:val="00937E50"/>
    <w:rsid w:val="00965588"/>
    <w:rsid w:val="009664B7"/>
    <w:rsid w:val="00970AC6"/>
    <w:rsid w:val="00972B75"/>
    <w:rsid w:val="009752E9"/>
    <w:rsid w:val="0098071E"/>
    <w:rsid w:val="00986A07"/>
    <w:rsid w:val="00992874"/>
    <w:rsid w:val="009964D8"/>
    <w:rsid w:val="009A2EC5"/>
    <w:rsid w:val="009A613F"/>
    <w:rsid w:val="009C10EB"/>
    <w:rsid w:val="009C7AFB"/>
    <w:rsid w:val="009D31F5"/>
    <w:rsid w:val="009E0E03"/>
    <w:rsid w:val="009E44C2"/>
    <w:rsid w:val="009E4C82"/>
    <w:rsid w:val="009F525D"/>
    <w:rsid w:val="00A15BB7"/>
    <w:rsid w:val="00A17EBA"/>
    <w:rsid w:val="00A20671"/>
    <w:rsid w:val="00A20A8D"/>
    <w:rsid w:val="00A2106B"/>
    <w:rsid w:val="00A27495"/>
    <w:rsid w:val="00A4212A"/>
    <w:rsid w:val="00A4325C"/>
    <w:rsid w:val="00A51D5C"/>
    <w:rsid w:val="00A65C92"/>
    <w:rsid w:val="00A706B9"/>
    <w:rsid w:val="00A7333C"/>
    <w:rsid w:val="00A7665C"/>
    <w:rsid w:val="00A816E0"/>
    <w:rsid w:val="00A818AF"/>
    <w:rsid w:val="00A83B25"/>
    <w:rsid w:val="00A8739E"/>
    <w:rsid w:val="00A94584"/>
    <w:rsid w:val="00AA322F"/>
    <w:rsid w:val="00AC0653"/>
    <w:rsid w:val="00AC0E0C"/>
    <w:rsid w:val="00AC7237"/>
    <w:rsid w:val="00AD4FA3"/>
    <w:rsid w:val="00AE5E6B"/>
    <w:rsid w:val="00AF5B8B"/>
    <w:rsid w:val="00AF627A"/>
    <w:rsid w:val="00B00814"/>
    <w:rsid w:val="00B12A83"/>
    <w:rsid w:val="00B16A6A"/>
    <w:rsid w:val="00B21EEA"/>
    <w:rsid w:val="00B26969"/>
    <w:rsid w:val="00B37EDC"/>
    <w:rsid w:val="00B42080"/>
    <w:rsid w:val="00B449EA"/>
    <w:rsid w:val="00B456AD"/>
    <w:rsid w:val="00B47745"/>
    <w:rsid w:val="00B505D5"/>
    <w:rsid w:val="00B665F4"/>
    <w:rsid w:val="00B87D3F"/>
    <w:rsid w:val="00B9551E"/>
    <w:rsid w:val="00BA0A6F"/>
    <w:rsid w:val="00BA2956"/>
    <w:rsid w:val="00BB523A"/>
    <w:rsid w:val="00BD09EB"/>
    <w:rsid w:val="00BD7F51"/>
    <w:rsid w:val="00BF722F"/>
    <w:rsid w:val="00C01339"/>
    <w:rsid w:val="00C12F42"/>
    <w:rsid w:val="00C1777D"/>
    <w:rsid w:val="00C17C97"/>
    <w:rsid w:val="00C2148A"/>
    <w:rsid w:val="00C354F4"/>
    <w:rsid w:val="00C40175"/>
    <w:rsid w:val="00C526CB"/>
    <w:rsid w:val="00C61981"/>
    <w:rsid w:val="00C66F4E"/>
    <w:rsid w:val="00C711A1"/>
    <w:rsid w:val="00C71D49"/>
    <w:rsid w:val="00C7497B"/>
    <w:rsid w:val="00C76D42"/>
    <w:rsid w:val="00C8108E"/>
    <w:rsid w:val="00C87679"/>
    <w:rsid w:val="00C96A4F"/>
    <w:rsid w:val="00CA1068"/>
    <w:rsid w:val="00CB23FC"/>
    <w:rsid w:val="00CB7CA9"/>
    <w:rsid w:val="00CC0912"/>
    <w:rsid w:val="00CC0CC9"/>
    <w:rsid w:val="00CC24B1"/>
    <w:rsid w:val="00CC3C13"/>
    <w:rsid w:val="00CD3571"/>
    <w:rsid w:val="00CD44F0"/>
    <w:rsid w:val="00CD72F0"/>
    <w:rsid w:val="00CE3A1A"/>
    <w:rsid w:val="00CE7FF3"/>
    <w:rsid w:val="00CF64F0"/>
    <w:rsid w:val="00D149E9"/>
    <w:rsid w:val="00D24F69"/>
    <w:rsid w:val="00D25BE0"/>
    <w:rsid w:val="00D31979"/>
    <w:rsid w:val="00D34486"/>
    <w:rsid w:val="00D50502"/>
    <w:rsid w:val="00D54640"/>
    <w:rsid w:val="00D55435"/>
    <w:rsid w:val="00D57353"/>
    <w:rsid w:val="00D57A94"/>
    <w:rsid w:val="00D6366E"/>
    <w:rsid w:val="00D63B16"/>
    <w:rsid w:val="00D73466"/>
    <w:rsid w:val="00D80535"/>
    <w:rsid w:val="00D85464"/>
    <w:rsid w:val="00D86CC1"/>
    <w:rsid w:val="00D91FE2"/>
    <w:rsid w:val="00D933E0"/>
    <w:rsid w:val="00D93C26"/>
    <w:rsid w:val="00DA4F24"/>
    <w:rsid w:val="00DA7D3C"/>
    <w:rsid w:val="00DB2CBD"/>
    <w:rsid w:val="00DB51B6"/>
    <w:rsid w:val="00DB6297"/>
    <w:rsid w:val="00DC1A40"/>
    <w:rsid w:val="00DF3423"/>
    <w:rsid w:val="00E00052"/>
    <w:rsid w:val="00E211A5"/>
    <w:rsid w:val="00E24FD2"/>
    <w:rsid w:val="00E250CE"/>
    <w:rsid w:val="00E30E2C"/>
    <w:rsid w:val="00E3169C"/>
    <w:rsid w:val="00E433DB"/>
    <w:rsid w:val="00E53C6A"/>
    <w:rsid w:val="00E65A73"/>
    <w:rsid w:val="00E7199C"/>
    <w:rsid w:val="00E833B5"/>
    <w:rsid w:val="00E87912"/>
    <w:rsid w:val="00E93F91"/>
    <w:rsid w:val="00EB7F0D"/>
    <w:rsid w:val="00ED19A3"/>
    <w:rsid w:val="00EE1640"/>
    <w:rsid w:val="00EE2B25"/>
    <w:rsid w:val="00EE3C56"/>
    <w:rsid w:val="00EF0777"/>
    <w:rsid w:val="00EF6C5B"/>
    <w:rsid w:val="00EF7685"/>
    <w:rsid w:val="00F13C5D"/>
    <w:rsid w:val="00F14A12"/>
    <w:rsid w:val="00F20020"/>
    <w:rsid w:val="00F219CC"/>
    <w:rsid w:val="00F2256E"/>
    <w:rsid w:val="00F22D96"/>
    <w:rsid w:val="00F25C28"/>
    <w:rsid w:val="00F425D8"/>
    <w:rsid w:val="00F46E89"/>
    <w:rsid w:val="00F55C16"/>
    <w:rsid w:val="00F60903"/>
    <w:rsid w:val="00F674C5"/>
    <w:rsid w:val="00FA7E5E"/>
    <w:rsid w:val="00FB14D1"/>
    <w:rsid w:val="00FB4F69"/>
    <w:rsid w:val="00FB6659"/>
    <w:rsid w:val="00FC50B4"/>
    <w:rsid w:val="00FC6076"/>
    <w:rsid w:val="00FE352B"/>
    <w:rsid w:val="00FE363D"/>
    <w:rsid w:val="00FE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77"/>
    <w:pPr>
      <w:jc w:val="both"/>
    </w:pPr>
    <w:rPr>
      <w:rFonts w:ascii="Times New Roman" w:hAnsi="Times New Roman"/>
      <w:sz w:val="24"/>
    </w:rPr>
  </w:style>
  <w:style w:type="paragraph" w:styleId="Heading1">
    <w:name w:val="heading 1"/>
    <w:basedOn w:val="Normal"/>
    <w:next w:val="Normal"/>
    <w:link w:val="Heading1Char"/>
    <w:uiPriority w:val="9"/>
    <w:qFormat/>
    <w:rsid w:val="00FC6076"/>
    <w:pPr>
      <w:keepNext/>
      <w:keepLines/>
      <w:numPr>
        <w:numId w:val="2"/>
      </w:numPr>
      <w:spacing w:before="480" w:after="240"/>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0E46"/>
    <w:pPr>
      <w:keepNext/>
      <w:keepLines/>
      <w:numPr>
        <w:ilvl w:val="1"/>
        <w:numId w:val="2"/>
      </w:numPr>
      <w:spacing w:before="200" w:after="120"/>
      <w:ind w:firstLine="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0D5"/>
    <w:pPr>
      <w:ind w:left="720"/>
      <w:contextualSpacing/>
    </w:pPr>
  </w:style>
  <w:style w:type="table" w:styleId="TableGrid">
    <w:name w:val="Table Grid"/>
    <w:basedOn w:val="TableNormal"/>
    <w:uiPriority w:val="59"/>
    <w:rsid w:val="0058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72F1"/>
    <w:pPr>
      <w:tabs>
        <w:tab w:val="center" w:pos="4680"/>
        <w:tab w:val="right" w:pos="9360"/>
      </w:tabs>
      <w:spacing w:after="0"/>
    </w:pPr>
  </w:style>
  <w:style w:type="character" w:customStyle="1" w:styleId="HeaderChar">
    <w:name w:val="Header Char"/>
    <w:basedOn w:val="DefaultParagraphFont"/>
    <w:link w:val="Header"/>
    <w:uiPriority w:val="99"/>
    <w:rsid w:val="003072F1"/>
  </w:style>
  <w:style w:type="paragraph" w:styleId="Footer">
    <w:name w:val="footer"/>
    <w:basedOn w:val="Normal"/>
    <w:link w:val="FooterChar"/>
    <w:uiPriority w:val="99"/>
    <w:unhideWhenUsed/>
    <w:rsid w:val="003072F1"/>
    <w:pPr>
      <w:tabs>
        <w:tab w:val="center" w:pos="4680"/>
        <w:tab w:val="right" w:pos="9360"/>
      </w:tabs>
      <w:spacing w:after="0"/>
    </w:pPr>
  </w:style>
  <w:style w:type="character" w:customStyle="1" w:styleId="FooterChar">
    <w:name w:val="Footer Char"/>
    <w:basedOn w:val="DefaultParagraphFont"/>
    <w:link w:val="Footer"/>
    <w:uiPriority w:val="99"/>
    <w:rsid w:val="003072F1"/>
  </w:style>
  <w:style w:type="paragraph" w:styleId="BalloonText">
    <w:name w:val="Balloon Text"/>
    <w:basedOn w:val="Normal"/>
    <w:link w:val="BalloonTextChar"/>
    <w:uiPriority w:val="99"/>
    <w:semiHidden/>
    <w:unhideWhenUsed/>
    <w:rsid w:val="00A706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6B9"/>
    <w:rPr>
      <w:rFonts w:ascii="Tahoma" w:hAnsi="Tahoma" w:cs="Tahoma"/>
      <w:sz w:val="16"/>
      <w:szCs w:val="16"/>
    </w:rPr>
  </w:style>
  <w:style w:type="character" w:customStyle="1" w:styleId="Heading1Char">
    <w:name w:val="Heading 1 Char"/>
    <w:basedOn w:val="DefaultParagraphFont"/>
    <w:link w:val="Heading1"/>
    <w:uiPriority w:val="9"/>
    <w:rsid w:val="00FC6076"/>
    <w:rPr>
      <w:rFonts w:asciiTheme="majorHAnsi" w:eastAsiaTheme="majorEastAsia" w:hAnsiTheme="majorHAnsi" w:cstheme="majorBidi"/>
      <w:b/>
      <w:bCs/>
      <w:color w:val="365F91" w:themeColor="accent1" w:themeShade="BF"/>
      <w:sz w:val="28"/>
      <w:szCs w:val="28"/>
    </w:rPr>
  </w:style>
  <w:style w:type="numbering" w:customStyle="1" w:styleId="Style1">
    <w:name w:val="Style1"/>
    <w:uiPriority w:val="99"/>
    <w:rsid w:val="00A20A8D"/>
    <w:pPr>
      <w:numPr>
        <w:numId w:val="2"/>
      </w:numPr>
    </w:pPr>
  </w:style>
  <w:style w:type="paragraph" w:styleId="TOC1">
    <w:name w:val="toc 1"/>
    <w:basedOn w:val="Normal"/>
    <w:next w:val="Normal"/>
    <w:autoRedefine/>
    <w:uiPriority w:val="39"/>
    <w:unhideWhenUsed/>
    <w:rsid w:val="00CC24B1"/>
    <w:pPr>
      <w:tabs>
        <w:tab w:val="right" w:leader="dot" w:pos="9305"/>
      </w:tabs>
      <w:spacing w:after="100"/>
    </w:pPr>
  </w:style>
  <w:style w:type="character" w:customStyle="1" w:styleId="Heading2Char">
    <w:name w:val="Heading 2 Char"/>
    <w:basedOn w:val="DefaultParagraphFont"/>
    <w:link w:val="Heading2"/>
    <w:uiPriority w:val="9"/>
    <w:rsid w:val="005E0E46"/>
    <w:rPr>
      <w:rFonts w:asciiTheme="majorHAnsi" w:eastAsiaTheme="majorEastAsia" w:hAnsiTheme="majorHAnsi" w:cstheme="majorBidi"/>
      <w:b/>
      <w:bCs/>
      <w:color w:val="4F81BD" w:themeColor="accent1"/>
      <w:sz w:val="24"/>
      <w:szCs w:val="26"/>
    </w:rPr>
  </w:style>
  <w:style w:type="character" w:styleId="Hyperlink">
    <w:name w:val="Hyperlink"/>
    <w:basedOn w:val="DefaultParagraphFont"/>
    <w:uiPriority w:val="99"/>
    <w:unhideWhenUsed/>
    <w:rsid w:val="00FC6076"/>
    <w:rPr>
      <w:color w:val="0000FF" w:themeColor="hyperlink"/>
      <w:u w:val="single"/>
    </w:rPr>
  </w:style>
  <w:style w:type="paragraph" w:styleId="TOC2">
    <w:name w:val="toc 2"/>
    <w:basedOn w:val="Normal"/>
    <w:next w:val="Normal"/>
    <w:autoRedefine/>
    <w:uiPriority w:val="39"/>
    <w:unhideWhenUsed/>
    <w:rsid w:val="00CC24B1"/>
    <w:pPr>
      <w:spacing w:after="100"/>
      <w:ind w:left="240"/>
    </w:pPr>
  </w:style>
  <w:style w:type="paragraph" w:styleId="NormalWeb">
    <w:name w:val="Normal (Web)"/>
    <w:basedOn w:val="Normal"/>
    <w:uiPriority w:val="99"/>
    <w:rsid w:val="005E0E46"/>
    <w:pPr>
      <w:spacing w:before="100" w:beforeAutospacing="1" w:after="100" w:afterAutospacing="1" w:line="240" w:lineRule="auto"/>
      <w:jc w:val="left"/>
    </w:pPr>
    <w:rPr>
      <w:rFonts w:eastAsia="Times New Roman" w:cs="Times New Roman"/>
      <w:szCs w:val="24"/>
      <w:lang w:val="lv-LV" w:eastAsia="lv-LV"/>
    </w:rPr>
  </w:style>
  <w:style w:type="paragraph" w:styleId="FootnoteText">
    <w:name w:val="footnote text"/>
    <w:basedOn w:val="Normal"/>
    <w:link w:val="FootnoteTextChar"/>
    <w:uiPriority w:val="99"/>
    <w:semiHidden/>
    <w:unhideWhenUsed/>
    <w:rsid w:val="00063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59A"/>
    <w:rPr>
      <w:rFonts w:ascii="Times New Roman" w:hAnsi="Times New Roman"/>
      <w:sz w:val="20"/>
      <w:szCs w:val="20"/>
    </w:rPr>
  </w:style>
  <w:style w:type="character" w:styleId="FootnoteReference">
    <w:name w:val="footnote reference"/>
    <w:basedOn w:val="DefaultParagraphFont"/>
    <w:uiPriority w:val="99"/>
    <w:semiHidden/>
    <w:unhideWhenUsed/>
    <w:rsid w:val="0006359A"/>
    <w:rPr>
      <w:vertAlign w:val="superscript"/>
    </w:rPr>
  </w:style>
  <w:style w:type="paragraph" w:styleId="EndnoteText">
    <w:name w:val="endnote text"/>
    <w:basedOn w:val="Normal"/>
    <w:link w:val="EndnoteTextChar"/>
    <w:uiPriority w:val="99"/>
    <w:semiHidden/>
    <w:unhideWhenUsed/>
    <w:rsid w:val="009807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71E"/>
    <w:rPr>
      <w:rFonts w:ascii="Times New Roman" w:hAnsi="Times New Roman"/>
      <w:sz w:val="20"/>
      <w:szCs w:val="20"/>
    </w:rPr>
  </w:style>
  <w:style w:type="character" w:styleId="EndnoteReference">
    <w:name w:val="endnote reference"/>
    <w:basedOn w:val="DefaultParagraphFont"/>
    <w:uiPriority w:val="99"/>
    <w:semiHidden/>
    <w:unhideWhenUsed/>
    <w:rsid w:val="0098071E"/>
    <w:rPr>
      <w:vertAlign w:val="superscript"/>
    </w:rPr>
  </w:style>
  <w:style w:type="character" w:styleId="CommentReference">
    <w:name w:val="annotation reference"/>
    <w:basedOn w:val="DefaultParagraphFont"/>
    <w:uiPriority w:val="99"/>
    <w:semiHidden/>
    <w:unhideWhenUsed/>
    <w:rsid w:val="008429BE"/>
    <w:rPr>
      <w:sz w:val="16"/>
      <w:szCs w:val="16"/>
    </w:rPr>
  </w:style>
  <w:style w:type="paragraph" w:styleId="CommentText">
    <w:name w:val="annotation text"/>
    <w:basedOn w:val="Normal"/>
    <w:link w:val="CommentTextChar"/>
    <w:uiPriority w:val="99"/>
    <w:semiHidden/>
    <w:unhideWhenUsed/>
    <w:rsid w:val="008429BE"/>
    <w:pPr>
      <w:spacing w:line="240" w:lineRule="auto"/>
    </w:pPr>
    <w:rPr>
      <w:sz w:val="20"/>
      <w:szCs w:val="20"/>
    </w:rPr>
  </w:style>
  <w:style w:type="character" w:customStyle="1" w:styleId="CommentTextChar">
    <w:name w:val="Comment Text Char"/>
    <w:basedOn w:val="DefaultParagraphFont"/>
    <w:link w:val="CommentText"/>
    <w:uiPriority w:val="99"/>
    <w:semiHidden/>
    <w:rsid w:val="008429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429BE"/>
    <w:rPr>
      <w:b/>
      <w:bCs/>
    </w:rPr>
  </w:style>
  <w:style w:type="character" w:customStyle="1" w:styleId="CommentSubjectChar">
    <w:name w:val="Comment Subject Char"/>
    <w:basedOn w:val="CommentTextChar"/>
    <w:link w:val="CommentSubject"/>
    <w:uiPriority w:val="99"/>
    <w:semiHidden/>
    <w:rsid w:val="008429BE"/>
    <w:rPr>
      <w:rFonts w:ascii="Times New Roman" w:hAnsi="Times New Roman"/>
      <w:b/>
      <w:bCs/>
      <w:sz w:val="20"/>
      <w:szCs w:val="20"/>
    </w:rPr>
  </w:style>
  <w:style w:type="paragraph" w:styleId="ListBullet">
    <w:name w:val="List Bullet"/>
    <w:basedOn w:val="Normal"/>
    <w:uiPriority w:val="99"/>
    <w:unhideWhenUsed/>
    <w:rsid w:val="00A15BB7"/>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77"/>
    <w:pPr>
      <w:jc w:val="both"/>
    </w:pPr>
    <w:rPr>
      <w:rFonts w:ascii="Times New Roman" w:hAnsi="Times New Roman"/>
      <w:sz w:val="24"/>
    </w:rPr>
  </w:style>
  <w:style w:type="paragraph" w:styleId="Heading1">
    <w:name w:val="heading 1"/>
    <w:basedOn w:val="Normal"/>
    <w:next w:val="Normal"/>
    <w:link w:val="Heading1Char"/>
    <w:uiPriority w:val="9"/>
    <w:qFormat/>
    <w:rsid w:val="00FC6076"/>
    <w:pPr>
      <w:keepNext/>
      <w:keepLines/>
      <w:numPr>
        <w:numId w:val="2"/>
      </w:numPr>
      <w:spacing w:before="480" w:after="240"/>
      <w:ind w:left="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0E46"/>
    <w:pPr>
      <w:keepNext/>
      <w:keepLines/>
      <w:numPr>
        <w:ilvl w:val="1"/>
        <w:numId w:val="2"/>
      </w:numPr>
      <w:spacing w:before="200" w:after="120"/>
      <w:ind w:firstLine="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0D5"/>
    <w:pPr>
      <w:ind w:left="720"/>
      <w:contextualSpacing/>
    </w:pPr>
  </w:style>
  <w:style w:type="table" w:styleId="TableGrid">
    <w:name w:val="Table Grid"/>
    <w:basedOn w:val="TableNormal"/>
    <w:uiPriority w:val="59"/>
    <w:rsid w:val="0058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72F1"/>
    <w:pPr>
      <w:tabs>
        <w:tab w:val="center" w:pos="4680"/>
        <w:tab w:val="right" w:pos="9360"/>
      </w:tabs>
      <w:spacing w:after="0"/>
    </w:pPr>
  </w:style>
  <w:style w:type="character" w:customStyle="1" w:styleId="HeaderChar">
    <w:name w:val="Header Char"/>
    <w:basedOn w:val="DefaultParagraphFont"/>
    <w:link w:val="Header"/>
    <w:uiPriority w:val="99"/>
    <w:rsid w:val="003072F1"/>
  </w:style>
  <w:style w:type="paragraph" w:styleId="Footer">
    <w:name w:val="footer"/>
    <w:basedOn w:val="Normal"/>
    <w:link w:val="FooterChar"/>
    <w:uiPriority w:val="99"/>
    <w:unhideWhenUsed/>
    <w:rsid w:val="003072F1"/>
    <w:pPr>
      <w:tabs>
        <w:tab w:val="center" w:pos="4680"/>
        <w:tab w:val="right" w:pos="9360"/>
      </w:tabs>
      <w:spacing w:after="0"/>
    </w:pPr>
  </w:style>
  <w:style w:type="character" w:customStyle="1" w:styleId="FooterChar">
    <w:name w:val="Footer Char"/>
    <w:basedOn w:val="DefaultParagraphFont"/>
    <w:link w:val="Footer"/>
    <w:uiPriority w:val="99"/>
    <w:rsid w:val="003072F1"/>
  </w:style>
  <w:style w:type="paragraph" w:styleId="BalloonText">
    <w:name w:val="Balloon Text"/>
    <w:basedOn w:val="Normal"/>
    <w:link w:val="BalloonTextChar"/>
    <w:uiPriority w:val="99"/>
    <w:semiHidden/>
    <w:unhideWhenUsed/>
    <w:rsid w:val="00A706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6B9"/>
    <w:rPr>
      <w:rFonts w:ascii="Tahoma" w:hAnsi="Tahoma" w:cs="Tahoma"/>
      <w:sz w:val="16"/>
      <w:szCs w:val="16"/>
    </w:rPr>
  </w:style>
  <w:style w:type="character" w:customStyle="1" w:styleId="Heading1Char">
    <w:name w:val="Heading 1 Char"/>
    <w:basedOn w:val="DefaultParagraphFont"/>
    <w:link w:val="Heading1"/>
    <w:uiPriority w:val="9"/>
    <w:rsid w:val="00FC6076"/>
    <w:rPr>
      <w:rFonts w:asciiTheme="majorHAnsi" w:eastAsiaTheme="majorEastAsia" w:hAnsiTheme="majorHAnsi" w:cstheme="majorBidi"/>
      <w:b/>
      <w:bCs/>
      <w:color w:val="365F91" w:themeColor="accent1" w:themeShade="BF"/>
      <w:sz w:val="28"/>
      <w:szCs w:val="28"/>
    </w:rPr>
  </w:style>
  <w:style w:type="numbering" w:customStyle="1" w:styleId="Style1">
    <w:name w:val="Style1"/>
    <w:uiPriority w:val="99"/>
    <w:rsid w:val="00A20A8D"/>
    <w:pPr>
      <w:numPr>
        <w:numId w:val="2"/>
      </w:numPr>
    </w:pPr>
  </w:style>
  <w:style w:type="paragraph" w:styleId="TOC1">
    <w:name w:val="toc 1"/>
    <w:basedOn w:val="Normal"/>
    <w:next w:val="Normal"/>
    <w:autoRedefine/>
    <w:uiPriority w:val="39"/>
    <w:unhideWhenUsed/>
    <w:rsid w:val="00CC24B1"/>
    <w:pPr>
      <w:tabs>
        <w:tab w:val="right" w:leader="dot" w:pos="9305"/>
      </w:tabs>
      <w:spacing w:after="100"/>
    </w:pPr>
  </w:style>
  <w:style w:type="character" w:customStyle="1" w:styleId="Heading2Char">
    <w:name w:val="Heading 2 Char"/>
    <w:basedOn w:val="DefaultParagraphFont"/>
    <w:link w:val="Heading2"/>
    <w:uiPriority w:val="9"/>
    <w:rsid w:val="005E0E46"/>
    <w:rPr>
      <w:rFonts w:asciiTheme="majorHAnsi" w:eastAsiaTheme="majorEastAsia" w:hAnsiTheme="majorHAnsi" w:cstheme="majorBidi"/>
      <w:b/>
      <w:bCs/>
      <w:color w:val="4F81BD" w:themeColor="accent1"/>
      <w:sz w:val="24"/>
      <w:szCs w:val="26"/>
    </w:rPr>
  </w:style>
  <w:style w:type="character" w:styleId="Hyperlink">
    <w:name w:val="Hyperlink"/>
    <w:basedOn w:val="DefaultParagraphFont"/>
    <w:uiPriority w:val="99"/>
    <w:unhideWhenUsed/>
    <w:rsid w:val="00FC6076"/>
    <w:rPr>
      <w:color w:val="0000FF" w:themeColor="hyperlink"/>
      <w:u w:val="single"/>
    </w:rPr>
  </w:style>
  <w:style w:type="paragraph" w:styleId="TOC2">
    <w:name w:val="toc 2"/>
    <w:basedOn w:val="Normal"/>
    <w:next w:val="Normal"/>
    <w:autoRedefine/>
    <w:uiPriority w:val="39"/>
    <w:unhideWhenUsed/>
    <w:rsid w:val="00CC24B1"/>
    <w:pPr>
      <w:spacing w:after="100"/>
      <w:ind w:left="240"/>
    </w:pPr>
  </w:style>
  <w:style w:type="paragraph" w:styleId="NormalWeb">
    <w:name w:val="Normal (Web)"/>
    <w:basedOn w:val="Normal"/>
    <w:uiPriority w:val="99"/>
    <w:rsid w:val="005E0E46"/>
    <w:pPr>
      <w:spacing w:before="100" w:beforeAutospacing="1" w:after="100" w:afterAutospacing="1" w:line="240" w:lineRule="auto"/>
      <w:jc w:val="left"/>
    </w:pPr>
    <w:rPr>
      <w:rFonts w:eastAsia="Times New Roman" w:cs="Times New Roman"/>
      <w:szCs w:val="24"/>
      <w:lang w:val="lv-LV" w:eastAsia="lv-LV"/>
    </w:rPr>
  </w:style>
  <w:style w:type="paragraph" w:styleId="FootnoteText">
    <w:name w:val="footnote text"/>
    <w:basedOn w:val="Normal"/>
    <w:link w:val="FootnoteTextChar"/>
    <w:uiPriority w:val="99"/>
    <w:semiHidden/>
    <w:unhideWhenUsed/>
    <w:rsid w:val="00063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59A"/>
    <w:rPr>
      <w:rFonts w:ascii="Times New Roman" w:hAnsi="Times New Roman"/>
      <w:sz w:val="20"/>
      <w:szCs w:val="20"/>
    </w:rPr>
  </w:style>
  <w:style w:type="character" w:styleId="FootnoteReference">
    <w:name w:val="footnote reference"/>
    <w:basedOn w:val="DefaultParagraphFont"/>
    <w:uiPriority w:val="99"/>
    <w:semiHidden/>
    <w:unhideWhenUsed/>
    <w:rsid w:val="0006359A"/>
    <w:rPr>
      <w:vertAlign w:val="superscript"/>
    </w:rPr>
  </w:style>
  <w:style w:type="paragraph" w:styleId="EndnoteText">
    <w:name w:val="endnote text"/>
    <w:basedOn w:val="Normal"/>
    <w:link w:val="EndnoteTextChar"/>
    <w:uiPriority w:val="99"/>
    <w:semiHidden/>
    <w:unhideWhenUsed/>
    <w:rsid w:val="009807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71E"/>
    <w:rPr>
      <w:rFonts w:ascii="Times New Roman" w:hAnsi="Times New Roman"/>
      <w:sz w:val="20"/>
      <w:szCs w:val="20"/>
    </w:rPr>
  </w:style>
  <w:style w:type="character" w:styleId="EndnoteReference">
    <w:name w:val="endnote reference"/>
    <w:basedOn w:val="DefaultParagraphFont"/>
    <w:uiPriority w:val="99"/>
    <w:semiHidden/>
    <w:unhideWhenUsed/>
    <w:rsid w:val="0098071E"/>
    <w:rPr>
      <w:vertAlign w:val="superscript"/>
    </w:rPr>
  </w:style>
  <w:style w:type="character" w:styleId="CommentReference">
    <w:name w:val="annotation reference"/>
    <w:basedOn w:val="DefaultParagraphFont"/>
    <w:uiPriority w:val="99"/>
    <w:semiHidden/>
    <w:unhideWhenUsed/>
    <w:rsid w:val="008429BE"/>
    <w:rPr>
      <w:sz w:val="16"/>
      <w:szCs w:val="16"/>
    </w:rPr>
  </w:style>
  <w:style w:type="paragraph" w:styleId="CommentText">
    <w:name w:val="annotation text"/>
    <w:basedOn w:val="Normal"/>
    <w:link w:val="CommentTextChar"/>
    <w:uiPriority w:val="99"/>
    <w:semiHidden/>
    <w:unhideWhenUsed/>
    <w:rsid w:val="008429BE"/>
    <w:pPr>
      <w:spacing w:line="240" w:lineRule="auto"/>
    </w:pPr>
    <w:rPr>
      <w:sz w:val="20"/>
      <w:szCs w:val="20"/>
    </w:rPr>
  </w:style>
  <w:style w:type="character" w:customStyle="1" w:styleId="CommentTextChar">
    <w:name w:val="Comment Text Char"/>
    <w:basedOn w:val="DefaultParagraphFont"/>
    <w:link w:val="CommentText"/>
    <w:uiPriority w:val="99"/>
    <w:semiHidden/>
    <w:rsid w:val="008429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429BE"/>
    <w:rPr>
      <w:b/>
      <w:bCs/>
    </w:rPr>
  </w:style>
  <w:style w:type="character" w:customStyle="1" w:styleId="CommentSubjectChar">
    <w:name w:val="Comment Subject Char"/>
    <w:basedOn w:val="CommentTextChar"/>
    <w:link w:val="CommentSubject"/>
    <w:uiPriority w:val="99"/>
    <w:semiHidden/>
    <w:rsid w:val="008429BE"/>
    <w:rPr>
      <w:rFonts w:ascii="Times New Roman" w:hAnsi="Times New Roman"/>
      <w:b/>
      <w:bCs/>
      <w:sz w:val="20"/>
      <w:szCs w:val="20"/>
    </w:rPr>
  </w:style>
  <w:style w:type="paragraph" w:styleId="ListBullet">
    <w:name w:val="List Bullet"/>
    <w:basedOn w:val="Normal"/>
    <w:uiPriority w:val="99"/>
    <w:unhideWhenUsed/>
    <w:rsid w:val="00A15BB7"/>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90924">
      <w:bodyDiv w:val="1"/>
      <w:marLeft w:val="0"/>
      <w:marRight w:val="0"/>
      <w:marTop w:val="0"/>
      <w:marBottom w:val="0"/>
      <w:divBdr>
        <w:top w:val="none" w:sz="0" w:space="0" w:color="auto"/>
        <w:left w:val="none" w:sz="0" w:space="0" w:color="auto"/>
        <w:bottom w:val="none" w:sz="0" w:space="0" w:color="auto"/>
        <w:right w:val="none" w:sz="0" w:space="0" w:color="auto"/>
      </w:divBdr>
    </w:div>
    <w:div w:id="1755662163">
      <w:bodyDiv w:val="1"/>
      <w:marLeft w:val="0"/>
      <w:marRight w:val="0"/>
      <w:marTop w:val="0"/>
      <w:marBottom w:val="0"/>
      <w:divBdr>
        <w:top w:val="none" w:sz="0" w:space="0" w:color="auto"/>
        <w:left w:val="none" w:sz="0" w:space="0" w:color="auto"/>
        <w:bottom w:val="none" w:sz="0" w:space="0" w:color="auto"/>
        <w:right w:val="none" w:sz="0" w:space="0" w:color="auto"/>
      </w:divBdr>
    </w:div>
    <w:div w:id="185514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3.wmf"/><Relationship Id="rId55" Type="http://schemas.openxmlformats.org/officeDocument/2006/relationships/oleObject" Target="embeddings/oleObject22.bin"/><Relationship Id="rId63" Type="http://schemas.openxmlformats.org/officeDocument/2006/relationships/image" Target="media/image29.wmf"/><Relationship Id="rId68" Type="http://schemas.openxmlformats.org/officeDocument/2006/relationships/oleObject" Target="embeddings/oleObject29.bin"/><Relationship Id="rId76" Type="http://schemas.openxmlformats.org/officeDocument/2006/relationships/image" Target="media/image38.png"/><Relationship Id="rId7" Type="http://schemas.openxmlformats.org/officeDocument/2006/relationships/footnotes" Target="footnotes.xml"/><Relationship Id="rId71"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8.bin"/><Relationship Id="rId11" Type="http://schemas.openxmlformats.org/officeDocument/2006/relationships/image" Target="media/image3.pn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2.bin"/><Relationship Id="rId40" Type="http://schemas.openxmlformats.org/officeDocument/2006/relationships/image" Target="media/image19.wmf"/><Relationship Id="rId45" Type="http://schemas.openxmlformats.org/officeDocument/2006/relationships/oleObject" Target="embeddings/oleObject16.bin"/><Relationship Id="rId53" Type="http://schemas.openxmlformats.org/officeDocument/2006/relationships/oleObject" Target="embeddings/oleObject21.bin"/><Relationship Id="rId58" Type="http://schemas.openxmlformats.org/officeDocument/2006/relationships/image" Target="media/image27.wmf"/><Relationship Id="rId66" Type="http://schemas.openxmlformats.org/officeDocument/2006/relationships/oleObject" Target="embeddings/oleObject28.bin"/><Relationship Id="rId74" Type="http://schemas.openxmlformats.org/officeDocument/2006/relationships/image" Target="media/image36.png"/><Relationship Id="rId79" Type="http://schemas.openxmlformats.org/officeDocument/2006/relationships/image" Target="media/image41.png"/><Relationship Id="rId5" Type="http://schemas.openxmlformats.org/officeDocument/2006/relationships/settings" Target="settings.xml"/><Relationship Id="rId61" Type="http://schemas.openxmlformats.org/officeDocument/2006/relationships/image" Target="media/image28.wmf"/><Relationship Id="rId82"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21.wmf"/><Relationship Id="rId52" Type="http://schemas.openxmlformats.org/officeDocument/2006/relationships/image" Target="media/image24.wmf"/><Relationship Id="rId60" Type="http://schemas.openxmlformats.org/officeDocument/2006/relationships/oleObject" Target="embeddings/oleObject25.bin"/><Relationship Id="rId65" Type="http://schemas.openxmlformats.org/officeDocument/2006/relationships/image" Target="media/image30.wmf"/><Relationship Id="rId73" Type="http://schemas.openxmlformats.org/officeDocument/2006/relationships/image" Target="media/image35.png"/><Relationship Id="rId78" Type="http://schemas.openxmlformats.org/officeDocument/2006/relationships/image" Target="media/image40.png"/><Relationship Id="rId8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7.bin"/><Relationship Id="rId30" Type="http://schemas.openxmlformats.org/officeDocument/2006/relationships/image" Target="media/image14.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27.bin"/><Relationship Id="rId69" Type="http://schemas.openxmlformats.org/officeDocument/2006/relationships/image" Target="media/image32.wmf"/><Relationship Id="rId77" Type="http://schemas.openxmlformats.org/officeDocument/2006/relationships/image" Target="media/image39.png"/><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4.pn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8.wmf"/><Relationship Id="rId46" Type="http://schemas.openxmlformats.org/officeDocument/2006/relationships/oleObject" Target="embeddings/oleObject17.bin"/><Relationship Id="rId59" Type="http://schemas.openxmlformats.org/officeDocument/2006/relationships/oleObject" Target="embeddings/oleObject24.bin"/><Relationship Id="rId67" Type="http://schemas.openxmlformats.org/officeDocument/2006/relationships/image" Target="media/image31.wmf"/><Relationship Id="rId20" Type="http://schemas.openxmlformats.org/officeDocument/2006/relationships/image" Target="media/image9.wmf"/><Relationship Id="rId41" Type="http://schemas.openxmlformats.org/officeDocument/2006/relationships/oleObject" Target="embeddings/oleObject14.bin"/><Relationship Id="rId54" Type="http://schemas.openxmlformats.org/officeDocument/2006/relationships/image" Target="media/image25.wmf"/><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7.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1EEDF-796A-4745-A0CC-A26D219F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34114</Words>
  <Characters>19446</Characters>
  <Application>Microsoft Office Word</Application>
  <DocSecurity>0</DocSecurity>
  <Lines>162</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Evita Sisene</cp:lastModifiedBy>
  <cp:revision>2</cp:revision>
  <cp:lastPrinted>2011-12-20T17:08:00Z</cp:lastPrinted>
  <dcterms:created xsi:type="dcterms:W3CDTF">2012-01-04T08:16:00Z</dcterms:created>
  <dcterms:modified xsi:type="dcterms:W3CDTF">2012-01-04T08:16:00Z</dcterms:modified>
</cp:coreProperties>
</file>