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EE7D450" w14:textId="77777777" w:rsidR="00980EFD" w:rsidRDefault="005C2C37">
      <w:pPr>
        <w:spacing w:before="480" w:after="240"/>
        <w:jc w:val="center"/>
        <w:rPr>
          <w:b/>
          <w:sz w:val="24"/>
        </w:rPr>
      </w:pPr>
      <w:r>
        <w:rPr>
          <w:b/>
          <w:sz w:val="24"/>
        </w:rPr>
        <w:t>Sēde</w:t>
      </w:r>
    </w:p>
    <w:p w14:paraId="2EC8F07B" w14:textId="77777777" w:rsidR="00980EFD" w:rsidRDefault="005C2C37">
      <w:pPr>
        <w:spacing w:after="240"/>
        <w:jc w:val="center"/>
        <w:rPr>
          <w:b/>
          <w:sz w:val="24"/>
        </w:rPr>
      </w:pPr>
      <w:r>
        <w:rPr>
          <w:b/>
          <w:sz w:val="24"/>
        </w:rPr>
        <w:t>Protokola izraksts</w:t>
      </w:r>
    </w:p>
    <w:tbl>
      <w:tblPr>
        <w:tblStyle w:val="a"/>
        <w:tblW w:w="9642" w:type="dxa"/>
        <w:tblLayout w:type="fixed"/>
        <w:tblLook w:val="0600" w:firstRow="0" w:lastRow="0" w:firstColumn="0" w:lastColumn="0" w:noHBand="1" w:noVBand="1"/>
      </w:tblPr>
      <w:tblGrid>
        <w:gridCol w:w="4821"/>
        <w:gridCol w:w="4821"/>
      </w:tblGrid>
      <w:tr w:rsidR="00980EFD" w14:paraId="215D3496" w14:textId="77777777">
        <w:tc>
          <w:tcPr>
            <w:tcW w:w="4821" w:type="dxa"/>
            <w:shd w:val="clear" w:color="auto" w:fill="FFFFFF"/>
            <w:noWrap/>
            <w:tcMar>
              <w:top w:w="0" w:type="dxa"/>
              <w:left w:w="0" w:type="dxa"/>
              <w:bottom w:w="0" w:type="dxa"/>
              <w:right w:w="0" w:type="dxa"/>
            </w:tcMar>
            <w:vAlign w:val="center"/>
          </w:tcPr>
          <w:p w14:paraId="6DBE7C57" w14:textId="77777777" w:rsidR="00980EFD" w:rsidRDefault="005C2C37">
            <w:r>
              <w:rPr>
                <w:sz w:val="24"/>
              </w:rPr>
              <w:t>2024. gada 19. novembrī</w:t>
            </w:r>
          </w:p>
        </w:tc>
        <w:tc>
          <w:tcPr>
            <w:tcW w:w="4821" w:type="dxa"/>
            <w:shd w:val="clear" w:color="auto" w:fill="FFFFFF"/>
            <w:noWrap/>
            <w:tcMar>
              <w:top w:w="0" w:type="dxa"/>
              <w:left w:w="0" w:type="dxa"/>
              <w:bottom w:w="0" w:type="dxa"/>
              <w:right w:w="0" w:type="dxa"/>
            </w:tcMar>
            <w:vAlign w:val="center"/>
          </w:tcPr>
          <w:p w14:paraId="3FB517C2" w14:textId="77777777" w:rsidR="00980EFD" w:rsidRDefault="005C2C37">
            <w:pPr>
              <w:jc w:val="right"/>
            </w:pPr>
            <w:r>
              <w:rPr>
                <w:sz w:val="24"/>
              </w:rPr>
              <w:t>Nr. 49</w:t>
            </w:r>
          </w:p>
        </w:tc>
      </w:tr>
    </w:tbl>
    <w:p w14:paraId="0FB7206F" w14:textId="77777777" w:rsidR="00980EFD" w:rsidRDefault="005C2C37">
      <w:pPr>
        <w:spacing w:before="240" w:after="240"/>
        <w:jc w:val="center"/>
        <w:rPr>
          <w:b/>
        </w:rPr>
      </w:pPr>
      <w:r>
        <w:rPr>
          <w:b/>
        </w:rPr>
        <w:t>56. §</w:t>
      </w:r>
    </w:p>
    <w:p w14:paraId="7F63EFCD" w14:textId="77777777" w:rsidR="00980EFD" w:rsidRDefault="005C2C37">
      <w:pPr>
        <w:pStyle w:val="boldparagraphheader"/>
        <w:contextualSpacing w:val="0"/>
      </w:pPr>
      <w:r>
        <w:t>Informatīvais ziņojums "Par Finanšu ministrijas pārziņā esošo Eiropas Savienības fondu un ārvalstu finanšu palīdzības aktualitātēm līdz 2024. gada oktobrim"</w:t>
      </w:r>
    </w:p>
    <w:p w14:paraId="37F3957E" w14:textId="77777777" w:rsidR="00980EFD" w:rsidRDefault="005C2C37">
      <w:pPr>
        <w:spacing w:before="240"/>
        <w:jc w:val="left"/>
        <w:rPr>
          <w:b/>
        </w:rPr>
      </w:pPr>
      <w:r>
        <w:rPr>
          <w:b/>
        </w:rPr>
        <w:t>24-TA-1915</w:t>
      </w:r>
    </w:p>
    <w:p w14:paraId="16BACCBB" w14:textId="77777777" w:rsidR="00980EFD" w:rsidRDefault="005C2C37">
      <w:pPr>
        <w:pBdr>
          <w:top w:val="single" w:sz="10" w:space="1" w:color="000000"/>
        </w:pBdr>
        <w:spacing w:after="240"/>
        <w:jc w:val="center"/>
        <w:rPr>
          <w:sz w:val="24"/>
        </w:rPr>
      </w:pPr>
      <w:r>
        <w:rPr>
          <w:sz w:val="24"/>
        </w:rPr>
        <w:t>(A. Ašeradens, A. Eberhards, V. Valainis, A. Čakša, A. Lāce, K. Briškens, B. Braže, E. Siliņa)</w:t>
      </w:r>
    </w:p>
    <w:p w14:paraId="174CE020" w14:textId="77777777" w:rsidR="00980EFD" w:rsidRDefault="005C2C37">
      <w:pPr>
        <w:numPr>
          <w:ilvl w:val="0"/>
          <w:numId w:val="1"/>
        </w:numPr>
        <w:ind w:firstLine="706"/>
      </w:pPr>
      <w:r>
        <w:t>1. Pieņemt zināšanai iesniegto informatīvo ziņojumu.</w:t>
      </w:r>
    </w:p>
    <w:p w14:paraId="7B3EFC52" w14:textId="77777777" w:rsidR="00980EFD" w:rsidRDefault="005C2C37">
      <w:pPr>
        <w:numPr>
          <w:ilvl w:val="0"/>
          <w:numId w:val="1"/>
        </w:numPr>
        <w:ind w:firstLine="706"/>
      </w:pPr>
      <w:r>
        <w:t>2. Ņemot vērā Ministru kabineta 2024. gada 7. jūnija rīkojuma Nr. 446 "Par Vides aizsardzības un reģionālās attīstības ministrijas un Klimata un enerģētikas ministrijas reorganizāciju" 14. punktu:</w:t>
      </w:r>
    </w:p>
    <w:p w14:paraId="3A62C7AE" w14:textId="77777777" w:rsidR="00980EFD" w:rsidRDefault="005C2C37">
      <w:pPr>
        <w:numPr>
          <w:ilvl w:val="1"/>
          <w:numId w:val="1"/>
        </w:numPr>
        <w:ind w:firstLine="706"/>
      </w:pPr>
      <w:r>
        <w:t>2.1. atzīt Ministru kabineta 2024. gada 28. maija sēdes protokollēmuma (prot. Nr. 22 44. §) "Informatīvais ziņojums "Par Finanšu ministrijas pārziņā esošo Eiropas Savienības fondu un ārvalstu finanšu palīdzības aktualitātēm līdz 2024. gada 1. martam (pusgada ziņojums)"" 4.4.5. un 4.4.10. apakšpunktu par aktualitāti zaudējušu;</w:t>
      </w:r>
    </w:p>
    <w:p w14:paraId="7A933BA5" w14:textId="77777777" w:rsidR="00980EFD" w:rsidRDefault="005C2C37">
      <w:pPr>
        <w:numPr>
          <w:ilvl w:val="1"/>
          <w:numId w:val="1"/>
        </w:numPr>
        <w:ind w:firstLine="706"/>
      </w:pPr>
      <w:r>
        <w:t xml:space="preserve">2.2. </w:t>
      </w:r>
      <w:r>
        <w:t>Centrālajai finanšu un līgumu aģentūrai sadarbībā ar atbildīgajām iestādēm atbilstoši kompetencei nodrošināt maksājumus specifisko atbalsta mērķu projektu finansējuma saņēmējiem par Eiropas Savienības fondu līdzfinansējumu:</w:t>
      </w:r>
    </w:p>
    <w:p w14:paraId="7D64162F" w14:textId="77777777" w:rsidR="00980EFD" w:rsidRDefault="005C2C37">
      <w:pPr>
        <w:numPr>
          <w:ilvl w:val="2"/>
          <w:numId w:val="1"/>
        </w:numPr>
        <w:ind w:firstLine="706"/>
      </w:pPr>
      <w:r>
        <w:t>2.2.1. Klimata un enerģētikas ministrija – 2025. gadā vismaz 19 705 889 </w:t>
      </w:r>
      <w:r>
        <w:rPr>
          <w:i/>
        </w:rPr>
        <w:t>euro</w:t>
      </w:r>
      <w:r>
        <w:t xml:space="preserve">, 2026. gadā vismaz 12 696 081 </w:t>
      </w:r>
      <w:r>
        <w:rPr>
          <w:i/>
        </w:rPr>
        <w:t>euro</w:t>
      </w:r>
      <w:r>
        <w:t>;</w:t>
      </w:r>
    </w:p>
    <w:p w14:paraId="03B402FD" w14:textId="77777777" w:rsidR="00980EFD" w:rsidRDefault="005C2C37">
      <w:pPr>
        <w:numPr>
          <w:ilvl w:val="2"/>
          <w:numId w:val="1"/>
        </w:numPr>
        <w:ind w:firstLine="706"/>
      </w:pPr>
      <w:r>
        <w:t>2.2.2. Viedās administrācijas un reģionālās attīstības ministrija – 2024. gadā vismaz 15 892 987 </w:t>
      </w:r>
      <w:r>
        <w:rPr>
          <w:i/>
        </w:rPr>
        <w:t>euro</w:t>
      </w:r>
      <w:r>
        <w:t>, 2025. gadā vismaz 141 596 391 </w:t>
      </w:r>
      <w:r>
        <w:rPr>
          <w:i/>
        </w:rPr>
        <w:t>euro</w:t>
      </w:r>
      <w:r>
        <w:t xml:space="preserve">, 2026. gadā vismaz 156 312 866 </w:t>
      </w:r>
      <w:r>
        <w:rPr>
          <w:i/>
        </w:rPr>
        <w:t>euro</w:t>
      </w:r>
      <w:r>
        <w:t>.</w:t>
      </w:r>
    </w:p>
    <w:p w14:paraId="2BE34568" w14:textId="77777777" w:rsidR="00980EFD" w:rsidRDefault="005C2C37">
      <w:pPr>
        <w:numPr>
          <w:ilvl w:val="0"/>
          <w:numId w:val="1"/>
        </w:numPr>
        <w:ind w:firstLine="706"/>
      </w:pPr>
      <w:r>
        <w:t>3. Iekšlietu ministrijai, Izglītības un zinātnes ministrijai, Tieslietu ministrijai, Viedās administrācijas un reģionālās attīstības ministrijai un Latvijas Investīciju un attīstības aģentūrai kā 2014.–2021. gada perioda Eiropas Ekonomikas zonas finanšu instrumenta un Norvēģijas finanšu instrumenta programmu apsaimniekotājiem līdz 2025. gada 7. februārim iesniegt Finanšu ministrijā saskaņošanai atbilstoši kompetencei īstenotās programmas noslēguma pārskata progresa sadaļu un līdz 2025. gada 7. martam iesnie</w:t>
      </w:r>
      <w:r>
        <w:t>gt Valsts kasē programmas noslēguma pārskatu.</w:t>
      </w:r>
    </w:p>
    <w:p w14:paraId="48EA61AD" w14:textId="77777777" w:rsidR="00980EFD" w:rsidRDefault="005C2C37">
      <w:pPr>
        <w:numPr>
          <w:ilvl w:val="0"/>
          <w:numId w:val="1"/>
        </w:numPr>
        <w:ind w:firstLine="706"/>
      </w:pPr>
      <w:r>
        <w:lastRenderedPageBreak/>
        <w:t>4. Ņemot vērā informatīvā ziņojuma 6. sadaļā minēto par Atveseļošanas fonda plāna ieviešanas progresu un riskiem:</w:t>
      </w:r>
    </w:p>
    <w:p w14:paraId="62B1FAD8" w14:textId="77777777" w:rsidR="00980EFD" w:rsidRDefault="005C2C37">
      <w:pPr>
        <w:numPr>
          <w:ilvl w:val="1"/>
          <w:numId w:val="1"/>
        </w:numPr>
        <w:ind w:firstLine="706"/>
      </w:pPr>
      <w:r>
        <w:t>4.1. nozaru ministrijām un Valsts kancelejai pastiprināti veikt visas nepieciešamās darbības, lai nodrošinātu Atveseļošanas fonda plāna reformu un investīciju īstenošanu atbilstoši Atveseļošanas fonda plānā un saistošajos dokumentos noteiktajiem uzdevumiem un to īstenošanas termiņiem, kā arī nodrošinātu 2024. gada valsts budžeta izdevumu plāna izpildi atbilstoši tajā paredzētajām investīcijām;</w:t>
      </w:r>
    </w:p>
    <w:p w14:paraId="60F117DE" w14:textId="77777777" w:rsidR="00980EFD" w:rsidRDefault="005C2C37">
      <w:pPr>
        <w:numPr>
          <w:ilvl w:val="1"/>
          <w:numId w:val="1"/>
        </w:numPr>
        <w:ind w:firstLine="706"/>
      </w:pPr>
      <w:r>
        <w:t>4.2. Finanšu ministrijai 2025. gada pirmajā ceturksnī izvērtēt nozaru ministriju un Valsts kancelejas pārziņā esošo  Atveseļošanas fonda plāna reformu un investīciju īstenošanas  progresu un informāciju par valsts budžeta 2024. gada investīciju izpildi, nepieciešamības gadījumā sniegt priekšlikumus finansējuma pārdalēm un grozījumiem Atveseļošanas fonda plānā, ja attiecināms;</w:t>
      </w:r>
    </w:p>
    <w:p w14:paraId="1C2D92F7" w14:textId="77777777" w:rsidR="00980EFD" w:rsidRDefault="005C2C37">
      <w:pPr>
        <w:numPr>
          <w:ilvl w:val="1"/>
          <w:numId w:val="1"/>
        </w:numPr>
        <w:ind w:firstLine="706"/>
      </w:pPr>
      <w:r>
        <w:t>4.3. nozaru ministrijām un Valsts kancelejai, izvērtējot savā pārziņā esošo Atveseļošanas fonda plāna reformu un investīciju īstenošanas progresu un valsts budžeta 2024. gada investīciju izpildi, tai skaitā ievērojot šī protokollēmuma 4.2. apakšpunktā noteiktos Ministru kabineta uzdevuma izpildes termiņus, nepieciešamības gadījumā nekavējoties sniegt Finanšu ministrijai argumentētus priekšlikumus finansējuma pārdalēm un grozījumiem Atveseļošanas fonda plānā, ja attiecināms.</w:t>
      </w:r>
    </w:p>
    <w:p w14:paraId="1B6BD61D" w14:textId="77777777" w:rsidR="00980EFD" w:rsidRDefault="005C2C37">
      <w:pPr>
        <w:numPr>
          <w:ilvl w:val="0"/>
          <w:numId w:val="1"/>
        </w:numPr>
        <w:ind w:firstLine="706"/>
      </w:pPr>
      <w:r>
        <w:t>5. Lai nodrošinātu pēc iespējas ātrāku Latvijas un Šveices sadarbības programmas otrā perioda Šveices apstiprināto programmu īstenošanas uzsākšanu, atbalstīt, ka ministrija kā programmas apsaimniekotājs pēc programmas līguma parakstīšanas var iesniegt normatīvajos aktos noteiktā kārtībā Finanšu ministrijai pieprasījumu līdzekļu pārdalei no 74. resora "Gadskārtēja valsts budžeta izpildes procesa pārdalāmais finansējums" 80.00.00. programmas "Nesadalītais finansējums Eiropas Savienības politiku instrumentu un</w:t>
      </w:r>
      <w:r>
        <w:t xml:space="preserve"> pārējās ārvalstu finanšu palīdzības līdzfinansēto projektu un pasākumu īstenošanai" programmā paredzēto attiecināmo administratīvo izdevumu segšanai, ņemot vērā informatīvajā ziņojumā iekļauto informāciju par </w:t>
      </w:r>
      <w:r>
        <w:rPr>
          <w:i/>
        </w:rPr>
        <w:t>euro</w:t>
      </w:r>
      <w:r>
        <w:t xml:space="preserve"> un Šveices franka valūtas kursu:</w:t>
      </w:r>
    </w:p>
    <w:p w14:paraId="1301DBD9" w14:textId="77777777" w:rsidR="00980EFD" w:rsidRDefault="005C2C37">
      <w:pPr>
        <w:numPr>
          <w:ilvl w:val="1"/>
          <w:numId w:val="1"/>
        </w:numPr>
        <w:ind w:firstLine="706"/>
      </w:pPr>
      <w:r>
        <w:t>5.1. Izglītības un zinātnes ministrija par programmu "Partnerība lietišķās pētniecības jomās: inovatīvi materiāli, informācijas un komunikācijas tehnoloģijas un viedā enerģija" – 2025. gadā 249 264 </w:t>
      </w:r>
      <w:r>
        <w:rPr>
          <w:i/>
        </w:rPr>
        <w:t>euro</w:t>
      </w:r>
      <w:r>
        <w:t xml:space="preserve">, 2026. gadā 169 069 </w:t>
      </w:r>
      <w:r>
        <w:rPr>
          <w:i/>
        </w:rPr>
        <w:t>euro</w:t>
      </w:r>
      <w:r>
        <w:t xml:space="preserve">, 2027. gadā 169 069 </w:t>
      </w:r>
      <w:r>
        <w:rPr>
          <w:i/>
        </w:rPr>
        <w:t>euro</w:t>
      </w:r>
      <w:r>
        <w:t xml:space="preserve">, 2028. gadā 169 069  </w:t>
      </w:r>
      <w:r>
        <w:rPr>
          <w:i/>
        </w:rPr>
        <w:t>euro</w:t>
      </w:r>
      <w:r>
        <w:t xml:space="preserve">, 2029. gadā 308 470 </w:t>
      </w:r>
      <w:r>
        <w:rPr>
          <w:i/>
        </w:rPr>
        <w:t>euro</w:t>
      </w:r>
      <w:r>
        <w:t xml:space="preserve">, bet kopā nepārsniedzot indikatīvi 1 064 941 </w:t>
      </w:r>
      <w:r>
        <w:rPr>
          <w:i/>
        </w:rPr>
        <w:t>euro</w:t>
      </w:r>
      <w:r>
        <w:t>;</w:t>
      </w:r>
    </w:p>
    <w:p w14:paraId="495BC7FB" w14:textId="77777777" w:rsidR="00980EFD" w:rsidRDefault="005C2C37">
      <w:pPr>
        <w:numPr>
          <w:ilvl w:val="1"/>
          <w:numId w:val="1"/>
        </w:numPr>
        <w:ind w:firstLine="706"/>
      </w:pPr>
      <w:r>
        <w:t>5.2. Izglītības un zinātnes ministrija par programmu "Spēcīgākas darba vidē balstītas mācības profesionālās izglītības un mācību pilnveidošanai Latvijā" – 2025. gadā 275 659 </w:t>
      </w:r>
      <w:r>
        <w:rPr>
          <w:i/>
        </w:rPr>
        <w:t>euro</w:t>
      </w:r>
      <w:r>
        <w:t xml:space="preserve">, 2026. gadā 229 759 </w:t>
      </w:r>
      <w:r>
        <w:rPr>
          <w:i/>
        </w:rPr>
        <w:t>euro</w:t>
      </w:r>
      <w:r>
        <w:t xml:space="preserve">, 2027. gadā 213 513 </w:t>
      </w:r>
      <w:r>
        <w:rPr>
          <w:i/>
        </w:rPr>
        <w:t>euro</w:t>
      </w:r>
      <w:r>
        <w:t xml:space="preserve">, 2028. gadā 213 513 </w:t>
      </w:r>
      <w:r>
        <w:rPr>
          <w:i/>
        </w:rPr>
        <w:t>euro</w:t>
      </w:r>
      <w:r>
        <w:t xml:space="preserve">, 2029. gadā 297 614 </w:t>
      </w:r>
      <w:r>
        <w:rPr>
          <w:i/>
        </w:rPr>
        <w:t>euro</w:t>
      </w:r>
      <w:r>
        <w:t>, bet kopā nepārsniedzot indikatīvi 1 230 058</w:t>
      </w:r>
      <w:r>
        <w:rPr>
          <w:i/>
        </w:rPr>
        <w:t xml:space="preserve"> euro;</w:t>
      </w:r>
    </w:p>
    <w:p w14:paraId="6113D235" w14:textId="77777777" w:rsidR="00980EFD" w:rsidRDefault="005C2C37">
      <w:pPr>
        <w:numPr>
          <w:ilvl w:val="1"/>
          <w:numId w:val="1"/>
        </w:numPr>
        <w:ind w:firstLine="706"/>
      </w:pPr>
      <w:r>
        <w:t xml:space="preserve">5.3. Klimata un enerģētikas ministrija par programmu "Vēsturiski piesārņoto vietu sanācija" – 2024. gadā 11 535 </w:t>
      </w:r>
      <w:r>
        <w:rPr>
          <w:i/>
        </w:rPr>
        <w:t>euro</w:t>
      </w:r>
      <w:r>
        <w:t>, 2025. gadā 271 221 </w:t>
      </w:r>
      <w:r>
        <w:rPr>
          <w:i/>
        </w:rPr>
        <w:t>euro</w:t>
      </w:r>
      <w:r>
        <w:t xml:space="preserve">, 2026. gadā 263 935 </w:t>
      </w:r>
      <w:r>
        <w:rPr>
          <w:i/>
        </w:rPr>
        <w:t>euro</w:t>
      </w:r>
      <w:r>
        <w:t xml:space="preserve">, 2027. gadā 295 242 </w:t>
      </w:r>
      <w:r>
        <w:rPr>
          <w:i/>
        </w:rPr>
        <w:t>euro</w:t>
      </w:r>
      <w:r>
        <w:t xml:space="preserve">, 2028. gadā 273 573 </w:t>
      </w:r>
      <w:r>
        <w:rPr>
          <w:i/>
        </w:rPr>
        <w:t>euro</w:t>
      </w:r>
      <w:r>
        <w:t xml:space="preserve">, 2029. gadā 305 082 </w:t>
      </w:r>
      <w:r>
        <w:rPr>
          <w:i/>
        </w:rPr>
        <w:t>euro</w:t>
      </w:r>
      <w:r>
        <w:t xml:space="preserve">, bet kopā nepārsniedzot indikatīvi 1 420 588 </w:t>
      </w:r>
      <w:r>
        <w:rPr>
          <w:i/>
        </w:rPr>
        <w:t>euro</w:t>
      </w:r>
      <w:r>
        <w:t>;</w:t>
      </w:r>
    </w:p>
    <w:p w14:paraId="507415EB" w14:textId="77777777" w:rsidR="00980EFD" w:rsidRDefault="005C2C37">
      <w:pPr>
        <w:numPr>
          <w:ilvl w:val="1"/>
          <w:numId w:val="1"/>
        </w:numPr>
        <w:ind w:firstLine="706"/>
      </w:pPr>
      <w:r>
        <w:lastRenderedPageBreak/>
        <w:t xml:space="preserve">5.4. Veselības ministrija par programmu "Bērnu vēža aprūpes attīstība Latvijā" – 2024. gadā 35 372 </w:t>
      </w:r>
      <w:r>
        <w:rPr>
          <w:i/>
        </w:rPr>
        <w:t>euro</w:t>
      </w:r>
      <w:r>
        <w:t>, 2025. gadā 99 405 </w:t>
      </w:r>
      <w:r>
        <w:rPr>
          <w:i/>
        </w:rPr>
        <w:t>euro</w:t>
      </w:r>
      <w:r>
        <w:t>, 2026. gadā 84 730</w:t>
      </w:r>
      <w:r>
        <w:rPr>
          <w:i/>
        </w:rPr>
        <w:t xml:space="preserve"> euro</w:t>
      </w:r>
      <w:r>
        <w:t xml:space="preserve">, 2027. gadā 116 730 </w:t>
      </w:r>
      <w:r>
        <w:rPr>
          <w:i/>
        </w:rPr>
        <w:t>euro</w:t>
      </w:r>
      <w:r>
        <w:t xml:space="preserve">, 2028. gadā 96 605 </w:t>
      </w:r>
      <w:r>
        <w:rPr>
          <w:i/>
        </w:rPr>
        <w:t>euro</w:t>
      </w:r>
      <w:r>
        <w:t xml:space="preserve">, 2029. gadā 125 880 </w:t>
      </w:r>
      <w:r>
        <w:rPr>
          <w:i/>
        </w:rPr>
        <w:t>euro</w:t>
      </w:r>
      <w:r>
        <w:t>, bet kopā nepārsniedzot indikatīvi 558 722</w:t>
      </w:r>
      <w:r>
        <w:rPr>
          <w:i/>
        </w:rPr>
        <w:t xml:space="preserve"> euro</w:t>
      </w:r>
      <w:r>
        <w:t>;</w:t>
      </w:r>
    </w:p>
    <w:p w14:paraId="1079A9F9" w14:textId="77777777" w:rsidR="00980EFD" w:rsidRDefault="005C2C37">
      <w:pPr>
        <w:numPr>
          <w:ilvl w:val="1"/>
          <w:numId w:val="1"/>
        </w:numPr>
        <w:ind w:firstLine="706"/>
      </w:pPr>
      <w:r>
        <w:t xml:space="preserve">5.5. šī protokollēmuma 5.1., 5.2., 5.3. un 5.4. apakšpunktā norādītais finansējums programmas administratīvajiem izdevumiem var tikt precizēts (sagatavojot valsts budžeta līdzekļa pieprasījumu kārtējam gadam), ņemot vērā aktuālo </w:t>
      </w:r>
      <w:r>
        <w:rPr>
          <w:i/>
        </w:rPr>
        <w:t>euro</w:t>
      </w:r>
      <w:r>
        <w:t xml:space="preserve"> un Šveices franka kursu, lai nodrošinātu, ka netiek pārsniegts Šveices piešķirtais finansējums Šveices frankos atbilstoši programmas līgumā notiktajam apmēram;</w:t>
      </w:r>
    </w:p>
    <w:p w14:paraId="267A6184" w14:textId="77777777" w:rsidR="00980EFD" w:rsidRDefault="005C2C37">
      <w:pPr>
        <w:numPr>
          <w:ilvl w:val="1"/>
          <w:numId w:val="1"/>
        </w:numPr>
        <w:ind w:firstLine="706"/>
      </w:pPr>
      <w:r>
        <w:t>5.6. šī protokollēmuma 5.1., 5.2., 5.3. un 5.4. apakšpunktā minētās ministrijas atbilstoši 5. punktā noteiktajam nodrošina piešķirto valsts budžeta līdzekļu izmantošanu vienīgi programmu attiecināmo administratīvo izdevumu segšanai, ievērojot pareizas finanšu pārvaldības, saimnieciskuma, lietderības un efektivitātes principus.</w:t>
      </w:r>
    </w:p>
    <w:p w14:paraId="3FFBD74D" w14:textId="77777777" w:rsidR="00980EFD" w:rsidRDefault="005C2C37">
      <w:pPr>
        <w:numPr>
          <w:ilvl w:val="0"/>
          <w:numId w:val="1"/>
        </w:numPr>
        <w:ind w:firstLine="706"/>
      </w:pPr>
      <w:r>
        <w:t>6. Ņemot vērā informatīvā ziņojuma 7. sadaļā minēto un lai nodrošinātu pēc iespējās ātrāku EEZ un Norvēģijas finanšu mehānisma 2021.–2028. gadam programmu apstiprināšanu un faktisko uzsākšanu, Finanšu ministrijai uzsākt jaunā perioda Latvijas prioritāšu noteikšanas koordinēšanu un priekšlikuma iesniegšanu izskatīšanai Ministru kabinetā.</w:t>
      </w:r>
    </w:p>
    <w:p w14:paraId="3B7F705A" w14:textId="77777777" w:rsidR="00980EFD" w:rsidRDefault="005C2C37">
      <w:pPr>
        <w:numPr>
          <w:ilvl w:val="0"/>
          <w:numId w:val="1"/>
        </w:numPr>
        <w:ind w:firstLine="706"/>
      </w:pPr>
      <w:r>
        <w:t>7. Pieņemt zināšanai, ka Finanšu ministrija iesniegs  izskatīšanai Ministru kabineta  2025. gada 7. janvāra sēdē operatīvo informāciju specifiski  par Eiropas Savienības fondu 2021.–2027. gada plānošanas periodā nozaru ministrijās sagatavojamo Ministru kabineta noteikumu par investīciju ieviešanu izstrādes grafika statusu, norādot konkrētās ministrijas, nozares un Ministru kabineta noteikumu projektus, kuri nav izstrādāti un atbilstoši iepriekš minētajam grafikam nav apstiprināti Ministru kabinetā līdz 2024</w:t>
      </w:r>
      <w:r>
        <w:t>. gada 31. decembrim. Finanšu ministrijai organizēt investīciju pārdales procesu par tām investīcijām, par kurām līdz 2025. gada 1. februārim nebūs izstrādāti Ministru kabineta noteikumi atbilstoši iepriekš minētajam 2024. gada grafikam.   </w:t>
      </w:r>
    </w:p>
    <w:p w14:paraId="2305FC32" w14:textId="77777777" w:rsidR="00980EFD" w:rsidRDefault="00980EFD">
      <w:pPr>
        <w:spacing w:before="480"/>
      </w:pPr>
    </w:p>
    <w:tbl>
      <w:tblPr>
        <w:tblStyle w:val="a"/>
        <w:tblW w:w="9642" w:type="dxa"/>
        <w:tblLayout w:type="fixed"/>
        <w:tblLook w:val="0600" w:firstRow="0" w:lastRow="0" w:firstColumn="0" w:lastColumn="0" w:noHBand="1" w:noVBand="1"/>
      </w:tblPr>
      <w:tblGrid>
        <w:gridCol w:w="3214"/>
        <w:gridCol w:w="3214"/>
        <w:gridCol w:w="3214"/>
      </w:tblGrid>
      <w:tr w:rsidR="00980EFD" w14:paraId="7FCCAA9F" w14:textId="77777777">
        <w:tc>
          <w:tcPr>
            <w:tcW w:w="3214" w:type="dxa"/>
            <w:shd w:val="clear" w:color="auto" w:fill="FFFFFF"/>
            <w:noWrap/>
            <w:tcMar>
              <w:top w:w="0" w:type="dxa"/>
              <w:left w:w="0" w:type="dxa"/>
              <w:bottom w:w="0" w:type="dxa"/>
              <w:right w:w="0" w:type="dxa"/>
            </w:tcMar>
            <w:vAlign w:val="center"/>
          </w:tcPr>
          <w:p w14:paraId="37A8D94A" w14:textId="77777777" w:rsidR="00980EFD" w:rsidRDefault="005C2C37">
            <w:pPr>
              <w:rPr>
                <w:sz w:val="24"/>
              </w:rPr>
            </w:pPr>
            <w:r>
              <w:rPr>
                <w:sz w:val="24"/>
              </w:rPr>
              <w:t>Ministru prezidente</w:t>
            </w:r>
          </w:p>
        </w:tc>
        <w:tc>
          <w:tcPr>
            <w:tcW w:w="3214" w:type="dxa"/>
            <w:shd w:val="clear" w:color="auto" w:fill="FFFFFF"/>
            <w:noWrap/>
            <w:tcMar>
              <w:top w:w="0" w:type="dxa"/>
              <w:left w:w="0" w:type="dxa"/>
              <w:bottom w:w="0" w:type="dxa"/>
              <w:right w:w="0" w:type="dxa"/>
            </w:tcMar>
            <w:vAlign w:val="center"/>
          </w:tcPr>
          <w:p w14:paraId="63A4BE87" w14:textId="77777777" w:rsidR="00980EFD" w:rsidRDefault="005C2C37">
            <w:pPr>
              <w:jc w:val="center"/>
              <w:rPr>
                <w:sz w:val="20"/>
              </w:rPr>
            </w:pPr>
            <w:r>
              <w:rPr>
                <w:sz w:val="20"/>
              </w:rPr>
              <w:t>(paraksts*)</w:t>
            </w:r>
          </w:p>
        </w:tc>
        <w:tc>
          <w:tcPr>
            <w:tcW w:w="3214" w:type="dxa"/>
            <w:shd w:val="clear" w:color="auto" w:fill="FFFFFF"/>
            <w:noWrap/>
            <w:tcMar>
              <w:top w:w="0" w:type="dxa"/>
              <w:left w:w="0" w:type="dxa"/>
              <w:bottom w:w="0" w:type="dxa"/>
              <w:right w:w="0" w:type="dxa"/>
            </w:tcMar>
            <w:vAlign w:val="center"/>
          </w:tcPr>
          <w:p w14:paraId="422E284B" w14:textId="77777777" w:rsidR="00980EFD" w:rsidRDefault="005C2C37">
            <w:pPr>
              <w:jc w:val="right"/>
              <w:rPr>
                <w:sz w:val="24"/>
              </w:rPr>
            </w:pPr>
            <w:r>
              <w:rPr>
                <w:sz w:val="24"/>
              </w:rPr>
              <w:t>E. Siliņa</w:t>
            </w:r>
          </w:p>
        </w:tc>
      </w:tr>
      <w:tr w:rsidR="00980EFD" w14:paraId="44E5987C" w14:textId="77777777">
        <w:tc>
          <w:tcPr>
            <w:tcW w:w="3214" w:type="dxa"/>
            <w:shd w:val="clear" w:color="auto" w:fill="FFFFFF"/>
            <w:noWrap/>
            <w:tcMar>
              <w:top w:w="0" w:type="dxa"/>
              <w:left w:w="0" w:type="dxa"/>
              <w:bottom w:w="0" w:type="dxa"/>
              <w:right w:w="0" w:type="dxa"/>
            </w:tcMar>
            <w:vAlign w:val="center"/>
          </w:tcPr>
          <w:p w14:paraId="69BA8CBF" w14:textId="77777777" w:rsidR="00980EFD" w:rsidRDefault="005C2C37">
            <w:pPr>
              <w:rPr>
                <w:sz w:val="24"/>
              </w:rPr>
            </w:pPr>
            <w:r>
              <w:rPr>
                <w:sz w:val="24"/>
              </w:rPr>
              <w:t>Valsts kancelejas direktors</w:t>
            </w:r>
          </w:p>
        </w:tc>
        <w:tc>
          <w:tcPr>
            <w:tcW w:w="3214" w:type="dxa"/>
            <w:shd w:val="clear" w:color="auto" w:fill="FFFFFF"/>
            <w:noWrap/>
            <w:tcMar>
              <w:top w:w="0" w:type="dxa"/>
              <w:left w:w="0" w:type="dxa"/>
              <w:bottom w:w="0" w:type="dxa"/>
              <w:right w:w="0" w:type="dxa"/>
            </w:tcMar>
            <w:vAlign w:val="center"/>
          </w:tcPr>
          <w:p w14:paraId="34B6664F" w14:textId="77777777" w:rsidR="00980EFD" w:rsidRDefault="005C2C37">
            <w:pPr>
              <w:jc w:val="center"/>
              <w:rPr>
                <w:sz w:val="20"/>
              </w:rPr>
            </w:pPr>
            <w:r>
              <w:rPr>
                <w:sz w:val="20"/>
              </w:rPr>
              <w:t>(paraksts*)</w:t>
            </w:r>
          </w:p>
        </w:tc>
        <w:tc>
          <w:tcPr>
            <w:tcW w:w="3214" w:type="dxa"/>
            <w:shd w:val="clear" w:color="auto" w:fill="FFFFFF"/>
            <w:noWrap/>
            <w:tcMar>
              <w:top w:w="0" w:type="dxa"/>
              <w:left w:w="0" w:type="dxa"/>
              <w:bottom w:w="0" w:type="dxa"/>
              <w:right w:w="0" w:type="dxa"/>
            </w:tcMar>
            <w:vAlign w:val="center"/>
          </w:tcPr>
          <w:p w14:paraId="547FC641" w14:textId="77777777" w:rsidR="00980EFD" w:rsidRDefault="005C2C37">
            <w:pPr>
              <w:jc w:val="right"/>
              <w:rPr>
                <w:sz w:val="24"/>
              </w:rPr>
            </w:pPr>
            <w:r>
              <w:rPr>
                <w:sz w:val="24"/>
              </w:rPr>
              <w:t>R. Kronbergs</w:t>
            </w:r>
          </w:p>
        </w:tc>
      </w:tr>
    </w:tbl>
    <w:p w14:paraId="3717A3F7" w14:textId="77777777" w:rsidR="00980EFD" w:rsidRDefault="005C2C37">
      <w:pPr>
        <w:spacing w:before="720"/>
        <w:ind w:left="705"/>
        <w:rPr>
          <w:sz w:val="20"/>
        </w:rPr>
      </w:pPr>
      <w:r>
        <w:rPr>
          <w:sz w:val="20"/>
        </w:rPr>
        <w:t>* Dokuments ir parakstīts ar drošu elektronisko parakstu</w:t>
      </w:r>
    </w:p>
    <w:sectPr w:rsidR="00980EFD">
      <w:headerReference w:type="default" r:id="rId7"/>
      <w:footerReference w:type="default" r:id="rId8"/>
      <w:headerReference w:type="first" r:id="rId9"/>
      <w:footerReference w:type="first" r:id="rId10"/>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07E64" w14:textId="77777777" w:rsidR="005C2C37" w:rsidRDefault="005C2C37">
      <w:r>
        <w:separator/>
      </w:r>
    </w:p>
  </w:endnote>
  <w:endnote w:type="continuationSeparator" w:id="0">
    <w:p w14:paraId="547E3F12" w14:textId="77777777" w:rsidR="005C2C37" w:rsidRDefault="005C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33A3B" w14:textId="77777777" w:rsidR="00980EFD" w:rsidRDefault="005C2C37">
    <w:pPr>
      <w:jc w:val="right"/>
    </w:pPr>
    <w:r>
      <w:rPr>
        <w:sz w:val="24"/>
        <w:szCs w:val="24"/>
      </w:rPr>
      <w:fldChar w:fldCharType="begin"/>
    </w:r>
    <w:r>
      <w:rPr>
        <w:sz w:val="24"/>
        <w:szCs w:val="24"/>
      </w:rPr>
      <w:instrText>PAGE</w:instrText>
    </w:r>
    <w:r>
      <w:rPr>
        <w:sz w:val="24"/>
        <w:szCs w:val="24"/>
      </w:rPr>
      <w:fldChar w:fldCharType="separate"/>
    </w:r>
    <w:r>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4D5BA" w14:textId="77777777" w:rsidR="005C2C37" w:rsidRDefault="005C2C37">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F0A5F" w14:textId="77777777" w:rsidR="005C2C37" w:rsidRDefault="005C2C37">
      <w:r>
        <w:separator/>
      </w:r>
    </w:p>
  </w:footnote>
  <w:footnote w:type="continuationSeparator" w:id="0">
    <w:p w14:paraId="322813A2" w14:textId="77777777" w:rsidR="005C2C37" w:rsidRDefault="005C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5A7B4" w14:textId="77777777" w:rsidR="00980EFD" w:rsidRDefault="005C2C37">
    <w:pPr>
      <w:pStyle w:val="Header"/>
      <w:contextualSpacing w:val="0"/>
    </w:pPr>
    <w:r>
      <w:t>Protokollēmums 24-TA-1915</w:t>
    </w:r>
    <w:r>
      <w:br/>
    </w:r>
    <w:r>
      <w:t>Izdrukāts 26.11.2024. 09.16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6D952" w14:textId="77777777" w:rsidR="00980EFD" w:rsidRDefault="005C2C37">
    <w:pPr>
      <w:spacing w:line="320" w:lineRule="auto"/>
      <w:jc w:val="center"/>
    </w:pPr>
    <w:r>
      <w:rPr>
        <w:noProof/>
      </w:rPr>
      <w:drawing>
        <wp:inline distT="101600" distB="101600" distL="101600" distR="101600" wp14:anchorId="7FE9B959" wp14:editId="44787CD9">
          <wp:extent cx="1019174" cy="952500"/>
          <wp:effectExtent l="0" t="0" r="0" b="0"/>
          <wp:docPr id="1" name="media/image1.png"/>
          <wp:cNvGraphicFramePr/>
          <a:graphic xmlns:a="http://schemas.openxmlformats.org/drawingml/2006/main">
            <a:graphicData uri="http://schemas.openxmlformats.org/drawingml/2006/picture">
              <pic:pic xmlns:pic="http://schemas.openxmlformats.org/drawingml/2006/picture">
                <pic:nvPicPr>
                  <pic:cNvPr id="1" name="media/image1.png"/>
                  <pic:cNvPicPr/>
                </pic:nvPicPr>
                <pic:blipFill>
                  <a:blip r:embed="rId1"/>
                  <a:srcRect/>
                  <a:stretch>
                    <a:fillRect/>
                  </a:stretch>
                </pic:blipFill>
                <pic:spPr>
                  <a:xfrm>
                    <a:off x="0" y="0"/>
                    <a:ext cx="1019174" cy="952500"/>
                  </a:xfrm>
                  <a:prstGeom prst="rect">
                    <a:avLst/>
                  </a:prstGeom>
                  <a:ln/>
                </pic:spPr>
              </pic:pic>
            </a:graphicData>
          </a:graphic>
        </wp:inline>
      </w:drawing>
    </w:r>
  </w:p>
  <w:p w14:paraId="247BC022" w14:textId="77777777" w:rsidR="00980EFD" w:rsidRDefault="005C2C37">
    <w:pPr>
      <w:pStyle w:val="Header"/>
      <w:contextualSpacing w:val="0"/>
    </w:pPr>
    <w:r>
      <w:t>Protokollēmums 24-TA-1915</w:t>
    </w:r>
    <w:r>
      <w:br/>
    </w:r>
    <w:r>
      <w:t>Izdrukāts 26.11.2024. 09.16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0604C1"/>
    <w:multiLevelType w:val="hybridMultilevel"/>
    <w:tmpl w:val="28886F1C"/>
    <w:lvl w:ilvl="0" w:tplc="E77ABC0E">
      <w:start w:val="1"/>
      <w:numFmt w:val="bullet"/>
      <w:lvlRestart w:val="0"/>
      <w:lvlText w:val=""/>
      <w:lvlJc w:val="left"/>
      <w:pPr>
        <w:ind w:left="0" w:firstLine="705"/>
      </w:pPr>
      <w:rPr>
        <w:u w:val="none"/>
      </w:rPr>
    </w:lvl>
    <w:lvl w:ilvl="1" w:tplc="DA466930">
      <w:start w:val="1"/>
      <w:numFmt w:val="bullet"/>
      <w:lvlRestart w:val="0"/>
      <w:lvlText w:val=""/>
      <w:lvlJc w:val="left"/>
      <w:pPr>
        <w:ind w:left="0" w:firstLine="705"/>
      </w:pPr>
      <w:rPr>
        <w:u w:val="none"/>
      </w:rPr>
    </w:lvl>
    <w:lvl w:ilvl="2" w:tplc="C53AC420">
      <w:start w:val="1"/>
      <w:numFmt w:val="bullet"/>
      <w:lvlRestart w:val="1"/>
      <w:lvlText w:val=""/>
      <w:lvlJc w:val="left"/>
      <w:pPr>
        <w:ind w:left="0" w:firstLine="705"/>
      </w:pPr>
      <w:rPr>
        <w:u w:val="none"/>
      </w:rPr>
    </w:lvl>
    <w:lvl w:ilvl="3" w:tplc="88BE768C">
      <w:numFmt w:val="decimal"/>
      <w:lvlText w:val=""/>
      <w:lvlJc w:val="left"/>
    </w:lvl>
    <w:lvl w:ilvl="4" w:tplc="4B926E80">
      <w:numFmt w:val="decimal"/>
      <w:lvlText w:val=""/>
      <w:lvlJc w:val="left"/>
    </w:lvl>
    <w:lvl w:ilvl="5" w:tplc="BDCEFF5A">
      <w:numFmt w:val="decimal"/>
      <w:lvlText w:val=""/>
      <w:lvlJc w:val="left"/>
    </w:lvl>
    <w:lvl w:ilvl="6" w:tplc="D86A19FC">
      <w:numFmt w:val="decimal"/>
      <w:lvlText w:val=""/>
      <w:lvlJc w:val="left"/>
    </w:lvl>
    <w:lvl w:ilvl="7" w:tplc="3D381CBA">
      <w:numFmt w:val="decimal"/>
      <w:lvlText w:val=""/>
      <w:lvlJc w:val="left"/>
    </w:lvl>
    <w:lvl w:ilvl="8" w:tplc="8A44D02A">
      <w:numFmt w:val="decimal"/>
      <w:lvlText w:val=""/>
      <w:lvlJc w:val="left"/>
    </w:lvl>
  </w:abstractNum>
  <w:num w:numId="1" w16cid:durableId="1018192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FD"/>
    <w:rsid w:val="005C2C37"/>
    <w:rsid w:val="00811F04"/>
    <w:rsid w:val="00980E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F0DBD"/>
  <w15:docId w15:val="{2944B4B3-63E6-4260-85E6-A7A19915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paragraph" w:customStyle="1" w:styleId="boldparagraphheader">
    <w:name w:val="bold_paragraph_header"/>
    <w:basedOn w:val="Normal"/>
    <w:next w:val="Normal"/>
    <w:pPr>
      <w:contextualSpacing/>
      <w:jc w:val="center"/>
    </w:pPr>
    <w:rPr>
      <w:b/>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4668</Words>
  <Characters>2662</Characters>
  <Application>Microsoft Office Word</Application>
  <DocSecurity>0</DocSecurity>
  <Lines>22</Lines>
  <Paragraphs>14</Paragraphs>
  <ScaleCrop>false</ScaleCrop>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protokollēmums_24-TA-1915.docx</dc:title>
  <dc:creator>Dace Ķeze</dc:creator>
  <cp:lastModifiedBy>Dace Ķeze</cp:lastModifiedBy>
  <cp:revision>2</cp:revision>
  <dcterms:created xsi:type="dcterms:W3CDTF">2024-11-26T07:17:00Z</dcterms:created>
  <dcterms:modified xsi:type="dcterms:W3CDTF">2024-11-26T07:17:00Z</dcterms:modified>
</cp:coreProperties>
</file>